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9D" w:rsidRDefault="008C529D">
      <w:pPr>
        <w:spacing w:before="0" w:after="0" w:line="360" w:lineRule="auto"/>
        <w:jc w:val="center"/>
        <w:rPr>
          <w:sz w:val="22"/>
        </w:rPr>
      </w:pPr>
      <w:r>
        <w:rPr>
          <w:sz w:val="28"/>
        </w:rPr>
        <w:t>Deklaracja gwarantowanego poziomu świadczenia usług (SLA)</w:t>
      </w:r>
    </w:p>
    <w:p w:rsidR="008C529D" w:rsidRDefault="00A12641">
      <w:pPr>
        <w:spacing w:before="0" w:after="0" w:line="360" w:lineRule="auto"/>
        <w:jc w:val="center"/>
        <w:rPr>
          <w:sz w:val="22"/>
          <w:szCs w:val="22"/>
        </w:rPr>
      </w:pPr>
      <w:r w:rsidRPr="00776ABC">
        <w:rPr>
          <w:sz w:val="18"/>
        </w:rPr>
        <w:t>dotyczy</w:t>
      </w:r>
      <w:r w:rsidR="008C529D" w:rsidRPr="00776ABC">
        <w:rPr>
          <w:sz w:val="18"/>
        </w:rPr>
        <w:t xml:space="preserve"> </w:t>
      </w:r>
      <w:r w:rsidR="00277D6C">
        <w:rPr>
          <w:sz w:val="20"/>
          <w:szCs w:val="22"/>
        </w:rPr>
        <w:t>komponentu</w:t>
      </w:r>
      <w:r w:rsidR="008C529D">
        <w:rPr>
          <w:sz w:val="20"/>
          <w:szCs w:val="22"/>
        </w:rPr>
        <w:t xml:space="preserve"> </w:t>
      </w:r>
      <w:r w:rsidR="00277D6C">
        <w:rPr>
          <w:sz w:val="20"/>
          <w:szCs w:val="22"/>
        </w:rPr>
        <w:t>COTS</w:t>
      </w:r>
    </w:p>
    <w:p w:rsidR="008C529D" w:rsidRDefault="008C529D">
      <w:pPr>
        <w:spacing w:before="0" w:after="0" w:line="360" w:lineRule="auto"/>
        <w:jc w:val="center"/>
        <w:rPr>
          <w:sz w:val="22"/>
          <w:szCs w:val="22"/>
        </w:rPr>
      </w:pPr>
    </w:p>
    <w:p w:rsidR="008C529D" w:rsidRDefault="008C529D">
      <w:pPr>
        <w:spacing w:before="0" w:after="0" w:line="360" w:lineRule="auto"/>
        <w:jc w:val="center"/>
        <w:rPr>
          <w:sz w:val="22"/>
          <w:szCs w:val="22"/>
        </w:rPr>
      </w:pPr>
    </w:p>
    <w:p w:rsidR="008C529D" w:rsidRDefault="008C529D">
      <w:pPr>
        <w:numPr>
          <w:ilvl w:val="0"/>
          <w:numId w:val="10"/>
        </w:numPr>
        <w:spacing w:line="312" w:lineRule="auto"/>
        <w:ind w:left="0" w:firstLine="0"/>
        <w:jc w:val="center"/>
        <w:rPr>
          <w:b/>
          <w:szCs w:val="24"/>
        </w:rPr>
      </w:pPr>
    </w:p>
    <w:p w:rsidR="008C529D" w:rsidRDefault="008C529D">
      <w:pPr>
        <w:spacing w:line="360" w:lineRule="auto"/>
        <w:jc w:val="center"/>
        <w:rPr>
          <w:sz w:val="22"/>
          <w:szCs w:val="22"/>
        </w:rPr>
      </w:pPr>
      <w:r>
        <w:rPr>
          <w:b/>
          <w:szCs w:val="24"/>
        </w:rPr>
        <w:t>Definicje</w:t>
      </w:r>
    </w:p>
    <w:p w:rsidR="008C529D" w:rsidRDefault="008C529D">
      <w:pPr>
        <w:spacing w:line="312" w:lineRule="auto"/>
        <w:rPr>
          <w:b/>
          <w:sz w:val="22"/>
          <w:szCs w:val="22"/>
        </w:rPr>
      </w:pPr>
      <w:r>
        <w:rPr>
          <w:sz w:val="22"/>
          <w:szCs w:val="22"/>
        </w:rPr>
        <w:t>Ilekroć poniższe pojęcia zostaną napisane w Deklaracji wielką literą, Strony nadają im znaczenie wskazane w definicjach: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Awaria – </w:t>
      </w:r>
      <w:r>
        <w:rPr>
          <w:sz w:val="22"/>
          <w:szCs w:val="22"/>
        </w:rPr>
        <w:t>jest to taki stan Systemu Informatycznego, w którym Użytkownik nie jest w stanie połączyć się do Systemu.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Dostawca usług – </w:t>
      </w:r>
      <w:r>
        <w:rPr>
          <w:sz w:val="22"/>
          <w:szCs w:val="22"/>
        </w:rPr>
        <w:t>LekSeek Polska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Czas Reakcji –</w:t>
      </w:r>
      <w:r>
        <w:rPr>
          <w:sz w:val="22"/>
          <w:szCs w:val="22"/>
        </w:rPr>
        <w:t xml:space="preserve"> czas jaki upłynął od momentu otrzymania Zgłoszenia przez </w:t>
      </w:r>
      <w:r w:rsidR="00D76A3C">
        <w:rPr>
          <w:sz w:val="22"/>
          <w:szCs w:val="22"/>
        </w:rPr>
        <w:t>Dostawce Usług</w:t>
      </w:r>
      <w:r>
        <w:rPr>
          <w:sz w:val="22"/>
          <w:szCs w:val="22"/>
        </w:rPr>
        <w:t xml:space="preserve"> do momentu przyjęcia Zgłoszenia do realizacji.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Czas usunięcia awarii/usterki – </w:t>
      </w:r>
      <w:r>
        <w:rPr>
          <w:sz w:val="22"/>
          <w:szCs w:val="22"/>
        </w:rPr>
        <w:t>czas jaki upłynął od przyjęcia Zgłoszenia do realizacji do usunięcia awarii/usterki.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Oprogramowanie – </w:t>
      </w:r>
      <w:r w:rsidR="00277D6C">
        <w:rPr>
          <w:sz w:val="20"/>
          <w:szCs w:val="22"/>
        </w:rPr>
        <w:t>komponent COTS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Partner Projektu </w:t>
      </w:r>
      <w:r>
        <w:rPr>
          <w:sz w:val="22"/>
          <w:szCs w:val="22"/>
        </w:rPr>
        <w:t xml:space="preserve">– </w:t>
      </w:r>
      <w:proofErr w:type="spellStart"/>
      <w:r w:rsidR="00277D6C">
        <w:rPr>
          <w:sz w:val="22"/>
          <w:szCs w:val="22"/>
        </w:rPr>
        <w:t>Licencjonobiorca</w:t>
      </w:r>
      <w:proofErr w:type="spellEnd"/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Priorytet Usterki - </w:t>
      </w:r>
      <w:r>
        <w:rPr>
          <w:sz w:val="22"/>
          <w:szCs w:val="22"/>
        </w:rPr>
        <w:t>Rozróżnia się kilka priorytetów w zakresie zgłoszeń dotyczących Usterek których lista wraz z definicjami została opisana w Załączniku nr 2 do niniejszej Deklaracji.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Serwis – </w:t>
      </w:r>
      <w:r>
        <w:rPr>
          <w:sz w:val="22"/>
          <w:szCs w:val="22"/>
        </w:rPr>
        <w:t xml:space="preserve">gwarantowane przez </w:t>
      </w:r>
      <w:r w:rsidR="00D76A3C">
        <w:rPr>
          <w:sz w:val="22"/>
          <w:szCs w:val="22"/>
        </w:rPr>
        <w:t>Dostawcę usług</w:t>
      </w:r>
      <w:r>
        <w:rPr>
          <w:sz w:val="22"/>
          <w:szCs w:val="22"/>
        </w:rPr>
        <w:t xml:space="preserve"> w ramach wsparcia technicznego oraz utrzymania Systemu Informatycznego. Szczegółowy zakres i parametry wyżej wymienionych usług oraz procedury realizacji Serwisu zostały opisane w paragrafie 3 niniejszej Deklaracji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Service </w:t>
      </w:r>
      <w:proofErr w:type="spellStart"/>
      <w:r>
        <w:rPr>
          <w:b/>
          <w:sz w:val="22"/>
          <w:szCs w:val="22"/>
        </w:rPr>
        <w:t>Level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Agreement</w:t>
      </w:r>
      <w:proofErr w:type="spellEnd"/>
      <w:r>
        <w:rPr>
          <w:b/>
          <w:sz w:val="22"/>
          <w:szCs w:val="22"/>
        </w:rPr>
        <w:t xml:space="preserve"> (SLA) lub Deklaracja –</w:t>
      </w:r>
      <w:r>
        <w:rPr>
          <w:sz w:val="22"/>
          <w:szCs w:val="22"/>
        </w:rPr>
        <w:t xml:space="preserve">, deklaracja  gwarantowanego poziomu usług, która obejmuje gwarancje w pełnym spektrum: od zakresu i sposobu świadczenia usług (w tym np. sposób dokumentowania prac), poprzez parametry usług (czasy dostępności, czasy reakcji, częstotliwość wykonywania), aż po kwestie związane z bezpieczeństwem. 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System Informatyczny – </w:t>
      </w:r>
      <w:r>
        <w:rPr>
          <w:sz w:val="22"/>
          <w:szCs w:val="22"/>
        </w:rPr>
        <w:t>system informatyczny złożony z Oprogramowania, oprogramowania firm trzecich, sprzętu komputerowego oraz innych urządzeń wymaganych do poprawnej pracy Oprogramowania.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Usługa - </w:t>
      </w:r>
      <w:r>
        <w:rPr>
          <w:sz w:val="22"/>
          <w:szCs w:val="22"/>
        </w:rPr>
        <w:t>całość serwisów udostępnianych na serwerze WWW, uruchamianych z przeglądarki WWW.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Usterka - </w:t>
      </w:r>
      <w:r>
        <w:rPr>
          <w:sz w:val="22"/>
          <w:szCs w:val="22"/>
        </w:rPr>
        <w:t>działanie systemu niezgodne z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specyfikacją funkcjonalności na chwilę bieżącą.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Użytkownik – </w:t>
      </w:r>
      <w:r>
        <w:rPr>
          <w:sz w:val="22"/>
          <w:szCs w:val="22"/>
        </w:rPr>
        <w:t xml:space="preserve">osoba używająca </w:t>
      </w:r>
      <w:r w:rsidR="00277D6C">
        <w:rPr>
          <w:sz w:val="20"/>
          <w:szCs w:val="22"/>
        </w:rPr>
        <w:t>komponentu COTS</w:t>
      </w:r>
      <w:r w:rsidR="00277D6C">
        <w:rPr>
          <w:sz w:val="22"/>
          <w:szCs w:val="22"/>
        </w:rPr>
        <w:t xml:space="preserve"> </w:t>
      </w:r>
      <w:r>
        <w:rPr>
          <w:sz w:val="22"/>
          <w:szCs w:val="22"/>
        </w:rPr>
        <w:t>na podstawie zawartej licencji (lekarz, personel medyczny, pielęgniarka, położna, personel administracyjny)</w:t>
      </w:r>
    </w:p>
    <w:p w:rsidR="008C529D" w:rsidRDefault="008C529D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Zgłoszenie – </w:t>
      </w:r>
      <w:r>
        <w:rPr>
          <w:sz w:val="22"/>
          <w:szCs w:val="22"/>
        </w:rPr>
        <w:t xml:space="preserve">informacja o Usterce lub Awarii w pracy Systemu Informatycznego przekazana przez Użytkownika/Partnera Projektu do </w:t>
      </w:r>
      <w:r w:rsidR="00D76A3C">
        <w:rPr>
          <w:sz w:val="22"/>
          <w:szCs w:val="22"/>
        </w:rPr>
        <w:t>Dostawcy Usług</w:t>
      </w:r>
      <w:r>
        <w:rPr>
          <w:sz w:val="22"/>
          <w:szCs w:val="22"/>
        </w:rPr>
        <w:t>.</w:t>
      </w:r>
    </w:p>
    <w:p w:rsidR="008C529D" w:rsidRDefault="008C529D">
      <w:pPr>
        <w:spacing w:line="360" w:lineRule="auto"/>
        <w:rPr>
          <w:b/>
          <w:sz w:val="22"/>
          <w:szCs w:val="22"/>
        </w:rPr>
      </w:pPr>
    </w:p>
    <w:p w:rsidR="008C529D" w:rsidRDefault="008C529D">
      <w:pPr>
        <w:spacing w:line="360" w:lineRule="auto"/>
        <w:rPr>
          <w:b/>
          <w:sz w:val="22"/>
          <w:szCs w:val="22"/>
        </w:rPr>
      </w:pPr>
    </w:p>
    <w:p w:rsidR="008C529D" w:rsidRDefault="008C529D">
      <w:pPr>
        <w:numPr>
          <w:ilvl w:val="0"/>
          <w:numId w:val="10"/>
        </w:numPr>
        <w:spacing w:line="360" w:lineRule="auto"/>
        <w:ind w:left="0" w:firstLine="0"/>
        <w:jc w:val="center"/>
        <w:rPr>
          <w:b/>
          <w:szCs w:val="24"/>
        </w:rPr>
      </w:pPr>
    </w:p>
    <w:p w:rsidR="008C529D" w:rsidRDefault="008C529D">
      <w:pPr>
        <w:spacing w:line="360" w:lineRule="auto"/>
        <w:jc w:val="center"/>
        <w:rPr>
          <w:sz w:val="22"/>
          <w:szCs w:val="22"/>
        </w:rPr>
      </w:pPr>
      <w:r>
        <w:rPr>
          <w:b/>
          <w:szCs w:val="24"/>
        </w:rPr>
        <w:t>Przedmiot Deklaracji</w:t>
      </w:r>
    </w:p>
    <w:p w:rsidR="008C529D" w:rsidRDefault="008C529D">
      <w:pPr>
        <w:pStyle w:val="Nagwek1"/>
        <w:numPr>
          <w:ilvl w:val="0"/>
          <w:numId w:val="5"/>
        </w:numPr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Zgodnie z niniejszą Deklaracją </w:t>
      </w:r>
      <w:r w:rsidR="00D76A3C">
        <w:rPr>
          <w:sz w:val="22"/>
          <w:szCs w:val="22"/>
        </w:rPr>
        <w:t>Dostawca Usług</w:t>
      </w:r>
      <w:r>
        <w:rPr>
          <w:sz w:val="22"/>
          <w:szCs w:val="22"/>
        </w:rPr>
        <w:t xml:space="preserve"> zobowiązuje się świadczyć na rzecz Użytkownika/Partnera usługi Serwisu, związane z obsługą </w:t>
      </w:r>
      <w:r w:rsidR="00277D6C">
        <w:rPr>
          <w:sz w:val="20"/>
          <w:szCs w:val="22"/>
        </w:rPr>
        <w:t>komponentu COTS</w:t>
      </w:r>
    </w:p>
    <w:p w:rsidR="008C529D" w:rsidRDefault="00D76A3C">
      <w:pPr>
        <w:pStyle w:val="Nagwek1"/>
        <w:numPr>
          <w:ilvl w:val="0"/>
          <w:numId w:val="5"/>
        </w:numPr>
        <w:ind w:left="425" w:hanging="425"/>
        <w:rPr>
          <w:sz w:val="22"/>
          <w:szCs w:val="22"/>
        </w:rPr>
      </w:pPr>
      <w:r>
        <w:rPr>
          <w:sz w:val="22"/>
          <w:szCs w:val="22"/>
        </w:rPr>
        <w:t>Dostawca Usług</w:t>
      </w:r>
      <w:r w:rsidR="008C529D">
        <w:rPr>
          <w:sz w:val="22"/>
          <w:szCs w:val="22"/>
        </w:rPr>
        <w:t xml:space="preserve"> oświadcza, że posiada wymagane uprawnienia do wykonywania prac określonych w niniejszej Umowie, a także odpowiednią wiedzę i doświadczenie w tym zakresie.</w:t>
      </w:r>
    </w:p>
    <w:p w:rsidR="008C529D" w:rsidRDefault="00D76A3C">
      <w:pPr>
        <w:numPr>
          <w:ilvl w:val="0"/>
          <w:numId w:val="5"/>
        </w:numPr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Dostawca Usług</w:t>
      </w:r>
      <w:r w:rsidR="008C529D">
        <w:rPr>
          <w:sz w:val="22"/>
          <w:szCs w:val="22"/>
        </w:rPr>
        <w:t xml:space="preserve"> zobowiązuje się do realizacji niniejszej Deklaracji zgodnie </w:t>
      </w:r>
      <w:r w:rsidR="008C529D">
        <w:rPr>
          <w:sz w:val="22"/>
          <w:szCs w:val="22"/>
        </w:rPr>
        <w:br/>
        <w:t xml:space="preserve">z najlepszą wiedzą, zachowaniem należytej staranności profesjonalisty oraz rzetelnie </w:t>
      </w:r>
      <w:r w:rsidR="008C529D">
        <w:rPr>
          <w:sz w:val="22"/>
          <w:szCs w:val="22"/>
        </w:rPr>
        <w:br/>
        <w:t xml:space="preserve">i terminowo. </w:t>
      </w:r>
      <w:r>
        <w:rPr>
          <w:sz w:val="22"/>
          <w:szCs w:val="22"/>
        </w:rPr>
        <w:t>Dostawca Usług</w:t>
      </w:r>
      <w:r w:rsidR="008C529D">
        <w:rPr>
          <w:sz w:val="22"/>
          <w:szCs w:val="22"/>
        </w:rPr>
        <w:t xml:space="preserve"> oświadcza, że posiada wszelkie wymagane przepisami prawa uprawnienia, zezwolenia i zgody na realizację niniejszej Deklaracji.</w:t>
      </w:r>
    </w:p>
    <w:p w:rsidR="008C529D" w:rsidRDefault="00D76A3C">
      <w:pPr>
        <w:numPr>
          <w:ilvl w:val="0"/>
          <w:numId w:val="5"/>
        </w:numPr>
        <w:spacing w:before="0" w:after="0" w:line="360" w:lineRule="auto"/>
        <w:ind w:left="426" w:hanging="426"/>
        <w:rPr>
          <w:b/>
          <w:szCs w:val="24"/>
        </w:rPr>
      </w:pPr>
      <w:r>
        <w:rPr>
          <w:sz w:val="22"/>
          <w:szCs w:val="22"/>
        </w:rPr>
        <w:t>Dostawca Usług</w:t>
      </w:r>
      <w:r w:rsidR="008C529D">
        <w:rPr>
          <w:sz w:val="22"/>
          <w:szCs w:val="22"/>
        </w:rPr>
        <w:t xml:space="preserve"> może powierzyć osobom trzecim wykonanie części lub całości prac, będących przedmiotem niniejszej Deklaracji podwykonawcom jedynie po uzyskaniu uprzedniej, pisemnej zgody Zamawiającego. </w:t>
      </w:r>
      <w:r>
        <w:rPr>
          <w:sz w:val="22"/>
          <w:szCs w:val="22"/>
        </w:rPr>
        <w:t>Dostawca Usług</w:t>
      </w:r>
      <w:r w:rsidR="008C529D">
        <w:rPr>
          <w:sz w:val="22"/>
          <w:szCs w:val="22"/>
        </w:rPr>
        <w:t xml:space="preserve"> odpowiedzialny jest za działania oraz zaniechania działania osób trzecich, z których pomocą, świadczy lub świadczył usługi na rzecz Zamawiającego jak za własne działania oraz zaniechania działań.</w:t>
      </w:r>
    </w:p>
    <w:p w:rsidR="008C529D" w:rsidRDefault="008C529D">
      <w:pPr>
        <w:numPr>
          <w:ilvl w:val="0"/>
          <w:numId w:val="10"/>
        </w:numPr>
        <w:spacing w:line="360" w:lineRule="auto"/>
        <w:ind w:left="0" w:firstLine="0"/>
        <w:jc w:val="center"/>
        <w:rPr>
          <w:b/>
          <w:szCs w:val="24"/>
        </w:rPr>
      </w:pPr>
    </w:p>
    <w:p w:rsidR="008C529D" w:rsidRDefault="008C529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Cs w:val="24"/>
        </w:rPr>
        <w:t>Zakres usług i parametry obsługi Serwisu (SLA)</w:t>
      </w:r>
    </w:p>
    <w:p w:rsidR="008C529D" w:rsidRDefault="008C529D">
      <w:pPr>
        <w:spacing w:before="280" w:after="0" w:line="360" w:lineRule="auto"/>
        <w:rPr>
          <w:sz w:val="22"/>
          <w:szCs w:val="22"/>
        </w:rPr>
      </w:pPr>
      <w:r>
        <w:rPr>
          <w:b/>
          <w:sz w:val="22"/>
          <w:szCs w:val="22"/>
        </w:rPr>
        <w:t>I. Monitorowanie.</w:t>
      </w:r>
    </w:p>
    <w:p w:rsidR="008C529D" w:rsidRDefault="008C529D">
      <w:pPr>
        <w:spacing w:before="280" w:after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>Dostawca usług monitoruje działanie usług w trybie 24/7. Usługi są monitorowane automatycznie. Zgłoszenia wykrytych awarii są zgłaszane do dyżurującego administratora. Administrator podejmuje działania od razu po otrzymaniu informacji o awarii.</w:t>
      </w:r>
    </w:p>
    <w:p w:rsidR="008C529D" w:rsidRDefault="008C529D">
      <w:pPr>
        <w:spacing w:before="280" w:after="0" w:line="360" w:lineRule="auto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lastRenderedPageBreak/>
        <w:t>II. Kanały zgłaszania awarii i usterek.</w:t>
      </w:r>
    </w:p>
    <w:p w:rsidR="008C529D" w:rsidRDefault="008C529D">
      <w:pPr>
        <w:pStyle w:val="Akapitzlist"/>
        <w:numPr>
          <w:ilvl w:val="0"/>
          <w:numId w:val="2"/>
        </w:numPr>
        <w:suppressAutoHyphens w:val="0"/>
        <w:spacing w:before="280" w:line="360" w:lineRule="auto"/>
        <w:contextualSpacing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Dostawca usług udostępnia co najmniej 3 niezależne kanały zgłaszania awarii. Kanałami tymi w szczególnością są:</w:t>
      </w:r>
    </w:p>
    <w:p w:rsidR="008C529D" w:rsidRDefault="008C529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E-mail</w:t>
      </w:r>
    </w:p>
    <w:p w:rsidR="008C529D" w:rsidRDefault="008C529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telefon</w:t>
      </w:r>
    </w:p>
    <w:p w:rsidR="008C529D" w:rsidRDefault="008C529D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Dostawca usług zapewnia przechowywanie wszystkich zgłoszeń oraz jednoznaczne oznaczenie statusu każdego zgłoszenia.</w:t>
      </w:r>
    </w:p>
    <w:p w:rsidR="008C529D" w:rsidRDefault="008C529D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Wszystkie usterki trafiające do systemu otrzymują priorytet.</w:t>
      </w:r>
    </w:p>
    <w:p w:rsidR="008C529D" w:rsidRDefault="008C529D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Partner projektu (</w:t>
      </w:r>
      <w:r w:rsidR="00277D6C">
        <w:rPr>
          <w:rFonts w:ascii="Arial" w:hAnsi="Arial" w:cs="Arial"/>
          <w:sz w:val="22"/>
          <w:szCs w:val="22"/>
          <w:lang w:eastAsia="pl-PL"/>
        </w:rPr>
        <w:t>Licencjonobiorca</w:t>
      </w:r>
      <w:r>
        <w:rPr>
          <w:rFonts w:ascii="Arial" w:hAnsi="Arial" w:cs="Arial"/>
          <w:sz w:val="22"/>
          <w:szCs w:val="22"/>
          <w:lang w:eastAsia="pl-PL"/>
        </w:rPr>
        <w:t>) posiada ciągły wgląd do ewidencji zgłoszeń oraz może wpływać na zmianę priorytetu.</w:t>
      </w:r>
    </w:p>
    <w:p w:rsidR="008C529D" w:rsidRDefault="008C529D">
      <w:pPr>
        <w:pStyle w:val="Akapitzlist"/>
        <w:numPr>
          <w:ilvl w:val="0"/>
          <w:numId w:val="2"/>
        </w:numPr>
        <w:suppressAutoHyphens w:val="0"/>
        <w:spacing w:after="280" w:line="360" w:lineRule="auto"/>
        <w:rPr>
          <w:rFonts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Zgłoszenia, które dotyczą tego samego problemu mogą być łączone w jeden wpis.</w:t>
      </w:r>
    </w:p>
    <w:p w:rsidR="008C529D" w:rsidRDefault="008C529D">
      <w:pPr>
        <w:spacing w:before="280" w:after="0" w:line="360" w:lineRule="auto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III. Czas reakcji i działań naprawczych.</w:t>
      </w:r>
    </w:p>
    <w:p w:rsidR="008C529D" w:rsidRDefault="008C529D">
      <w:pPr>
        <w:pStyle w:val="Akapitzlist"/>
        <w:numPr>
          <w:ilvl w:val="0"/>
          <w:numId w:val="12"/>
        </w:numPr>
        <w:suppressAutoHyphens w:val="0"/>
        <w:spacing w:before="280" w:line="360" w:lineRule="auto"/>
        <w:contextualSpacing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Jako czas reakcji rozumie się czas od pojawienia się zgłoszenia do momentu sklasyfikowania zgłoszenia (jako Awaria lub Usterka) i przypisania Priorytetu.</w:t>
      </w:r>
    </w:p>
    <w:p w:rsidR="008C529D" w:rsidRDefault="008C529D">
      <w:pPr>
        <w:pStyle w:val="Akapitzlist"/>
        <w:numPr>
          <w:ilvl w:val="0"/>
          <w:numId w:val="12"/>
        </w:numPr>
        <w:suppressAutoHyphens w:val="0"/>
        <w:spacing w:after="280" w:line="360" w:lineRule="auto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Dostawca usługi gwarantuje następujące czasy reakcji na zgłoszenia:</w:t>
      </w:r>
    </w:p>
    <w:tbl>
      <w:tblPr>
        <w:tblW w:w="0" w:type="auto"/>
        <w:tblInd w:w="-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608"/>
        <w:gridCol w:w="4623"/>
      </w:tblGrid>
      <w:tr w:rsidR="008C529D"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 powszednie od 6:00 – 20:00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5 minut</w:t>
            </w:r>
          </w:p>
        </w:tc>
      </w:tr>
      <w:tr w:rsidR="008C529D">
        <w:tblPrEx>
          <w:tblCellMar>
            <w:top w:w="0" w:type="dxa"/>
          </w:tblCellMar>
        </w:tblPrEx>
        <w:tc>
          <w:tcPr>
            <w:tcW w:w="46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 powszednie – pozostałe godziny i soboty</w:t>
            </w:r>
          </w:p>
        </w:tc>
        <w:tc>
          <w:tcPr>
            <w:tcW w:w="4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10 minut</w:t>
            </w:r>
          </w:p>
        </w:tc>
      </w:tr>
      <w:tr w:rsidR="008C529D">
        <w:tblPrEx>
          <w:tblCellMar>
            <w:top w:w="0" w:type="dxa"/>
          </w:tblCellMar>
        </w:tblPrEx>
        <w:tc>
          <w:tcPr>
            <w:tcW w:w="46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 ustawowo wolne od pracy</w:t>
            </w:r>
          </w:p>
        </w:tc>
        <w:tc>
          <w:tcPr>
            <w:tcW w:w="4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30 minut</w:t>
            </w:r>
          </w:p>
        </w:tc>
      </w:tr>
    </w:tbl>
    <w:p w:rsidR="008C529D" w:rsidRDefault="008C529D">
      <w:pPr>
        <w:spacing w:before="280" w:after="0" w:line="360" w:lineRule="auto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IV. Łączny czas awarii i usterek.</w:t>
      </w:r>
    </w:p>
    <w:p w:rsidR="008C529D" w:rsidRDefault="008C529D">
      <w:pPr>
        <w:pStyle w:val="Akapitzlist"/>
        <w:numPr>
          <w:ilvl w:val="0"/>
          <w:numId w:val="13"/>
        </w:numPr>
        <w:suppressAutoHyphens w:val="0"/>
        <w:spacing w:before="280" w:after="280" w:line="360" w:lineRule="auto"/>
        <w:contextualSpacing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Dostawca usług gwarantuje, że łączny czas w ciągu roku kalendarzowego nie przekroczy:</w:t>
      </w:r>
    </w:p>
    <w:tbl>
      <w:tblPr>
        <w:tblW w:w="0" w:type="auto"/>
        <w:tblInd w:w="-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608"/>
        <w:gridCol w:w="4623"/>
      </w:tblGrid>
      <w:tr w:rsidR="008C529D"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Awarie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48 godziny</w:t>
            </w:r>
          </w:p>
        </w:tc>
      </w:tr>
      <w:tr w:rsidR="008C529D">
        <w:tblPrEx>
          <w:tblCellMar>
            <w:top w:w="0" w:type="dxa"/>
          </w:tblCellMar>
        </w:tblPrEx>
        <w:tc>
          <w:tcPr>
            <w:tcW w:w="46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Usterki poziom Krytyczny</w:t>
            </w:r>
          </w:p>
        </w:tc>
        <w:tc>
          <w:tcPr>
            <w:tcW w:w="4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72 godziny</w:t>
            </w:r>
          </w:p>
        </w:tc>
      </w:tr>
      <w:tr w:rsidR="008C529D">
        <w:tblPrEx>
          <w:tblCellMar>
            <w:top w:w="0" w:type="dxa"/>
          </w:tblCellMar>
        </w:tblPrEx>
        <w:tc>
          <w:tcPr>
            <w:tcW w:w="46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Usterki poziom Istotny</w:t>
            </w:r>
          </w:p>
        </w:tc>
        <w:tc>
          <w:tcPr>
            <w:tcW w:w="4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21 dni</w:t>
            </w:r>
          </w:p>
        </w:tc>
      </w:tr>
    </w:tbl>
    <w:p w:rsidR="008C529D" w:rsidRDefault="008C529D">
      <w:pPr>
        <w:pStyle w:val="Akapitzlist"/>
        <w:numPr>
          <w:ilvl w:val="0"/>
          <w:numId w:val="13"/>
        </w:numPr>
        <w:suppressAutoHyphens w:val="0"/>
        <w:spacing w:before="280" w:after="280" w:line="360" w:lineRule="auto"/>
        <w:contextualSpacing/>
        <w:rPr>
          <w:rFonts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Jako łączny czas uważa się sytuacje, w której jest otwarte co najmniej jedno zlecenie danego typu.</w:t>
      </w:r>
    </w:p>
    <w:p w:rsidR="008C529D" w:rsidRDefault="00E52D45">
      <w:pPr>
        <w:spacing w:before="280" w:after="0" w:line="360" w:lineRule="auto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V</w:t>
      </w:r>
      <w:r w:rsidR="008C529D">
        <w:rPr>
          <w:b/>
          <w:sz w:val="22"/>
          <w:szCs w:val="22"/>
        </w:rPr>
        <w:t>. Okna serwisowe.</w:t>
      </w:r>
    </w:p>
    <w:p w:rsidR="008C529D" w:rsidRDefault="008C529D">
      <w:pPr>
        <w:pStyle w:val="Akapitzlist"/>
        <w:numPr>
          <w:ilvl w:val="0"/>
          <w:numId w:val="3"/>
        </w:numPr>
        <w:suppressAutoHyphens w:val="0"/>
        <w:spacing w:before="280" w:line="360" w:lineRule="auto"/>
        <w:contextualSpacing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lastRenderedPageBreak/>
        <w:t>Dostawca usług rezerwuje przedziały czasu na operacje serwisowe w obrębie usługi. Operacje serwisowe mogą prowadzić do czasowego wyłączenia części usług. Czas prowadzenia operacji serwisowych nie wlicza się do czasu niedostępności usług.</w:t>
      </w:r>
    </w:p>
    <w:p w:rsidR="008C529D" w:rsidRDefault="008C529D">
      <w:pPr>
        <w:pStyle w:val="Akapitzlist"/>
        <w:numPr>
          <w:ilvl w:val="0"/>
          <w:numId w:val="3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Dostawca każdorazowo informuje użytkowników o przewidywanych przerwach serwisowych co najmniej 12h przed ich wystąpieniem.</w:t>
      </w:r>
    </w:p>
    <w:p w:rsidR="008C529D" w:rsidRDefault="008C529D">
      <w:pPr>
        <w:pStyle w:val="Akapitzlist"/>
        <w:numPr>
          <w:ilvl w:val="0"/>
          <w:numId w:val="3"/>
        </w:numPr>
        <w:suppressAutoHyphens w:val="0"/>
        <w:spacing w:after="280" w:line="360" w:lineRule="auto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Dostawca ustala następujące okna serwisowe:</w:t>
      </w:r>
    </w:p>
    <w:p w:rsidR="008C529D" w:rsidRDefault="008C529D">
      <w:pPr>
        <w:pStyle w:val="Akapitzlist"/>
        <w:spacing w:before="280" w:line="360" w:lineRule="auto"/>
        <w:ind w:left="720"/>
        <w:rPr>
          <w:rFonts w:cs="Arial"/>
          <w:sz w:val="22"/>
          <w:szCs w:val="22"/>
        </w:rPr>
      </w:pPr>
    </w:p>
    <w:tbl>
      <w:tblPr>
        <w:tblW w:w="0" w:type="auto"/>
        <w:tblInd w:w="-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199"/>
        <w:gridCol w:w="5826"/>
      </w:tblGrid>
      <w:tr w:rsidR="008C529D"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Codziennie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Od 2:00 do 2:01</w:t>
            </w:r>
          </w:p>
        </w:tc>
      </w:tr>
      <w:tr w:rsidR="008C529D">
        <w:tblPrEx>
          <w:tblCellMar>
            <w:top w:w="0" w:type="dxa"/>
          </w:tblCellMar>
        </w:tblPrEx>
        <w:tc>
          <w:tcPr>
            <w:tcW w:w="21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w tygodniu</w:t>
            </w:r>
          </w:p>
        </w:tc>
        <w:tc>
          <w:tcPr>
            <w:tcW w:w="58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W dzień ustawowo wolny od pracy od 2:01 do 2:05</w:t>
            </w:r>
          </w:p>
        </w:tc>
      </w:tr>
      <w:tr w:rsidR="008C529D">
        <w:tblPrEx>
          <w:tblCellMar>
            <w:top w:w="0" w:type="dxa"/>
          </w:tblCellMar>
        </w:tblPrEx>
        <w:tc>
          <w:tcPr>
            <w:tcW w:w="21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w miesiącu</w:t>
            </w:r>
          </w:p>
        </w:tc>
        <w:tc>
          <w:tcPr>
            <w:tcW w:w="58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W dzień ustawowo wolny od pracy od 2:05 do 2:15</w:t>
            </w:r>
          </w:p>
        </w:tc>
      </w:tr>
      <w:tr w:rsidR="008C529D">
        <w:tblPrEx>
          <w:tblCellMar>
            <w:top w:w="0" w:type="dxa"/>
          </w:tblCellMar>
        </w:tblPrEx>
        <w:tc>
          <w:tcPr>
            <w:tcW w:w="21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na kwartał</w:t>
            </w:r>
          </w:p>
        </w:tc>
        <w:tc>
          <w:tcPr>
            <w:tcW w:w="58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29D" w:rsidRDefault="008C529D">
            <w:pPr>
              <w:spacing w:after="0" w:line="360" w:lineRule="auto"/>
            </w:pPr>
            <w:r>
              <w:rPr>
                <w:sz w:val="22"/>
                <w:szCs w:val="22"/>
              </w:rPr>
              <w:t>W dzień ustawowo wolny od pracy od 2:15 do 2:45</w:t>
            </w:r>
          </w:p>
        </w:tc>
      </w:tr>
    </w:tbl>
    <w:p w:rsidR="008C529D" w:rsidRDefault="008C529D">
      <w:pPr>
        <w:spacing w:before="280" w:after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>Przerwa techniczna może oznaczać przerwanie wszystkich sesji, automatyczne wylogowanie użytkowników. Odpowiedzialność w zakresie przygotowania się do przerwy technicznej po stronie użytkowników leży w gestii użytkowników.</w:t>
      </w:r>
    </w:p>
    <w:p w:rsidR="008C529D" w:rsidRDefault="00E52D45">
      <w:pPr>
        <w:spacing w:before="280" w:after="0" w:line="360" w:lineRule="auto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VI</w:t>
      </w:r>
      <w:r w:rsidR="008C529D">
        <w:rPr>
          <w:b/>
          <w:sz w:val="22"/>
          <w:szCs w:val="22"/>
        </w:rPr>
        <w:t>. Wyjątki i wyłączenia.</w:t>
      </w:r>
    </w:p>
    <w:p w:rsidR="008C529D" w:rsidRDefault="008C529D">
      <w:pPr>
        <w:pStyle w:val="Akapitzlist"/>
        <w:numPr>
          <w:ilvl w:val="0"/>
          <w:numId w:val="14"/>
        </w:numPr>
        <w:suppressAutoHyphens w:val="0"/>
        <w:spacing w:before="280" w:line="360" w:lineRule="auto"/>
        <w:contextualSpacing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Dostawca usług nie ponosi odpowiedzialności za elementy nie będące częścią jego infrastruktury. W szczególności Dostawca usług nie ponosi odpowiedzialności za wadliwe działania, sprzętu i oprogramowania u użytkownika oraz infrastruktury sieciowej użytkownika (dostawca Internetu). W skład tych elementów wchodzą między innymi:</w:t>
      </w:r>
    </w:p>
    <w:p w:rsidR="008C529D" w:rsidRDefault="008C529D">
      <w:pPr>
        <w:pStyle w:val="Akapitzlist"/>
        <w:numPr>
          <w:ilvl w:val="1"/>
          <w:numId w:val="14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Drukarki</w:t>
      </w:r>
    </w:p>
    <w:p w:rsidR="00007E95" w:rsidRDefault="008C529D" w:rsidP="00007E95">
      <w:pPr>
        <w:pStyle w:val="Akapitzlist"/>
        <w:numPr>
          <w:ilvl w:val="1"/>
          <w:numId w:val="14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Przeglądarki internetowe (Dostawca usług nie ponosi odpowiedzialności za błędy w przeglądarkach oraz używanie przeglądarek spoza listy zalecanych przeglądarek)</w:t>
      </w:r>
    </w:p>
    <w:p w:rsidR="008C529D" w:rsidRPr="00007E95" w:rsidRDefault="008C529D" w:rsidP="00007E95">
      <w:pPr>
        <w:pStyle w:val="Akapitzlist"/>
        <w:numPr>
          <w:ilvl w:val="1"/>
          <w:numId w:val="14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007E95">
        <w:rPr>
          <w:rFonts w:ascii="Arial" w:hAnsi="Arial" w:cs="Arial"/>
          <w:sz w:val="22"/>
          <w:szCs w:val="22"/>
          <w:lang w:eastAsia="pl-PL"/>
        </w:rPr>
        <w:t>Działanie programów antywirusowych.</w:t>
      </w:r>
    </w:p>
    <w:p w:rsidR="008C529D" w:rsidRPr="00E52D45" w:rsidRDefault="008C529D" w:rsidP="00E52D45">
      <w:pPr>
        <w:pStyle w:val="Akapitzlist"/>
        <w:numPr>
          <w:ilvl w:val="1"/>
          <w:numId w:val="14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Działanie </w:t>
      </w:r>
      <w:proofErr w:type="spellStart"/>
      <w:r>
        <w:rPr>
          <w:rFonts w:ascii="Arial" w:hAnsi="Arial" w:cs="Arial"/>
          <w:sz w:val="22"/>
          <w:szCs w:val="22"/>
          <w:lang w:eastAsia="pl-PL"/>
        </w:rPr>
        <w:t>pluginów</w:t>
      </w:r>
      <w:proofErr w:type="spellEnd"/>
      <w:r>
        <w:rPr>
          <w:rFonts w:ascii="Arial" w:hAnsi="Arial" w:cs="Arial"/>
          <w:sz w:val="22"/>
          <w:szCs w:val="22"/>
          <w:lang w:eastAsia="pl-PL"/>
        </w:rPr>
        <w:t>, rozszerzeń, motywów instalowanych w przeglądarce internetowej.</w:t>
      </w:r>
    </w:p>
    <w:p w:rsidR="008C529D" w:rsidRDefault="008C529D">
      <w:pPr>
        <w:numPr>
          <w:ilvl w:val="0"/>
          <w:numId w:val="10"/>
        </w:numPr>
        <w:spacing w:line="312" w:lineRule="auto"/>
        <w:ind w:left="0" w:firstLine="0"/>
        <w:jc w:val="center"/>
        <w:rPr>
          <w:b/>
          <w:szCs w:val="24"/>
        </w:rPr>
      </w:pPr>
    </w:p>
    <w:p w:rsidR="008C529D" w:rsidRDefault="008C529D">
      <w:pPr>
        <w:spacing w:line="360" w:lineRule="auto"/>
        <w:jc w:val="center"/>
        <w:rPr>
          <w:sz w:val="22"/>
          <w:szCs w:val="22"/>
        </w:rPr>
      </w:pPr>
      <w:r>
        <w:rPr>
          <w:b/>
          <w:szCs w:val="24"/>
        </w:rPr>
        <w:t>Jakość i gwarancja</w:t>
      </w:r>
    </w:p>
    <w:p w:rsidR="008C529D" w:rsidRDefault="008C529D">
      <w:pPr>
        <w:pStyle w:val="Nagwek1"/>
        <w:numPr>
          <w:ilvl w:val="0"/>
          <w:numId w:val="7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Jakość świadczonych usług, szybkość reakcji na zgłoszenia, jasno zdefiniowane procedury, a także dobra organizacja serwisu i przepływu informacji gwarantowane jest </w:t>
      </w:r>
      <w:r>
        <w:rPr>
          <w:sz w:val="22"/>
          <w:szCs w:val="22"/>
        </w:rPr>
        <w:lastRenderedPageBreak/>
        <w:t xml:space="preserve">przez wdrożony w Zespole </w:t>
      </w:r>
      <w:r w:rsidR="00D76A3C">
        <w:rPr>
          <w:sz w:val="22"/>
          <w:szCs w:val="22"/>
        </w:rPr>
        <w:t xml:space="preserve">Dostawcy Usług - </w:t>
      </w:r>
      <w:r>
        <w:rPr>
          <w:sz w:val="22"/>
          <w:szCs w:val="22"/>
        </w:rPr>
        <w:t xml:space="preserve"> System Zarządzania Usługami IT zgodny z normą ISO/IEC 20000.</w:t>
      </w:r>
    </w:p>
    <w:p w:rsidR="008C529D" w:rsidRDefault="00D76A3C">
      <w:pPr>
        <w:pStyle w:val="Nagwek1"/>
        <w:numPr>
          <w:ilvl w:val="0"/>
          <w:numId w:val="7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Dostawca usług</w:t>
      </w:r>
      <w:r w:rsidR="008C529D">
        <w:rPr>
          <w:sz w:val="22"/>
          <w:szCs w:val="22"/>
        </w:rPr>
        <w:t xml:space="preserve"> gwarantuje prowadzenie obsługi serwisowej Systemu Informatycznego w sposób minimalizujący powstawanie Awarii i Usterek oraz usuwanie uszkodzeń w możliwie najkrótszym czasie, jednak nie dłuższym niż wskazany w Par 3 niniejszej Deklaracji, w celu utrzymania parametrów niezawodności Systemu Informatycznego.</w:t>
      </w:r>
    </w:p>
    <w:p w:rsidR="008C529D" w:rsidRDefault="008C529D">
      <w:pPr>
        <w:pStyle w:val="Nagwek1"/>
        <w:numPr>
          <w:ilvl w:val="0"/>
          <w:numId w:val="7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Naprawa Oprogramowania polega na modyfikacji Oprogramowania </w:t>
      </w:r>
      <w:r w:rsidR="00CA166A">
        <w:rPr>
          <w:sz w:val="22"/>
          <w:szCs w:val="22"/>
        </w:rPr>
        <w:t>Dostawcy Usług</w:t>
      </w:r>
      <w:r>
        <w:rPr>
          <w:sz w:val="22"/>
          <w:szCs w:val="22"/>
        </w:rPr>
        <w:t xml:space="preserve"> powodującej usunięcie Awarii/Usterki lub na podaniu procedury pozwalającej uniknąć Awarii/Usterki według zgodnej decyzji </w:t>
      </w:r>
      <w:r w:rsidR="00CA166A">
        <w:rPr>
          <w:sz w:val="22"/>
          <w:szCs w:val="22"/>
        </w:rPr>
        <w:t>Dostawcy Usług</w:t>
      </w:r>
      <w:r>
        <w:rPr>
          <w:sz w:val="22"/>
          <w:szCs w:val="22"/>
        </w:rPr>
        <w:t xml:space="preserve"> i Użytkownika/Partnera Projektu. Szczegółowe procedury postępowania zostaną określone w odrębnym dokumencie. </w:t>
      </w:r>
    </w:p>
    <w:p w:rsidR="008C529D" w:rsidRDefault="008C529D">
      <w:pPr>
        <w:pStyle w:val="Nagwek1"/>
        <w:numPr>
          <w:ilvl w:val="0"/>
          <w:numId w:val="7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Oprogramowanie Firm Trzecich, wchodzące w skład Systemu Informatycznego, będzie gwarantowane zgodnie z warunkami producenta lub innego dostawcy. </w:t>
      </w:r>
      <w:r w:rsidR="00CA166A">
        <w:rPr>
          <w:sz w:val="22"/>
          <w:szCs w:val="22"/>
        </w:rPr>
        <w:t>Dostawca Usług</w:t>
      </w:r>
      <w:r>
        <w:rPr>
          <w:sz w:val="22"/>
          <w:szCs w:val="22"/>
        </w:rPr>
        <w:t xml:space="preserve"> nie ponosi odpowiedzialności za niewywiązanie się podmiotów trzecich z warunków wspomnianego wsparcia. </w:t>
      </w:r>
    </w:p>
    <w:p w:rsidR="008C529D" w:rsidRDefault="008C529D">
      <w:pPr>
        <w:pStyle w:val="Nagwek1"/>
        <w:numPr>
          <w:ilvl w:val="0"/>
          <w:numId w:val="7"/>
        </w:numPr>
        <w:ind w:left="426" w:hanging="426"/>
      </w:pPr>
      <w:r>
        <w:rPr>
          <w:sz w:val="22"/>
          <w:szCs w:val="22"/>
        </w:rPr>
        <w:t xml:space="preserve">Gwarancje opisane w tym paragrafie stanowią wyłączne zobowiązania </w:t>
      </w:r>
      <w:r w:rsidR="00CA166A">
        <w:rPr>
          <w:sz w:val="22"/>
          <w:szCs w:val="22"/>
        </w:rPr>
        <w:t>Dostawcy Usług</w:t>
      </w:r>
      <w:r>
        <w:rPr>
          <w:sz w:val="22"/>
          <w:szCs w:val="22"/>
        </w:rPr>
        <w:t xml:space="preserve"> przysługujące Użytkownikowi z tytułu niniejszej Deklaracji czy też z innego tytułu</w:t>
      </w:r>
      <w:r>
        <w:rPr>
          <w:sz w:val="22"/>
          <w:szCs w:val="22"/>
        </w:rPr>
        <w:br/>
        <w:t>(np. przepisów prawnych).</w:t>
      </w:r>
    </w:p>
    <w:p w:rsidR="008C529D" w:rsidRDefault="008C529D"/>
    <w:p w:rsidR="008C529D" w:rsidRDefault="008C529D">
      <w:pPr>
        <w:numPr>
          <w:ilvl w:val="0"/>
          <w:numId w:val="10"/>
        </w:numPr>
        <w:spacing w:line="312" w:lineRule="auto"/>
        <w:ind w:left="0" w:firstLine="0"/>
        <w:jc w:val="center"/>
        <w:rPr>
          <w:b/>
          <w:szCs w:val="24"/>
        </w:rPr>
      </w:pPr>
    </w:p>
    <w:p w:rsidR="008C529D" w:rsidRDefault="008C529D">
      <w:pPr>
        <w:spacing w:line="360" w:lineRule="auto"/>
        <w:jc w:val="center"/>
        <w:rPr>
          <w:sz w:val="22"/>
          <w:szCs w:val="22"/>
        </w:rPr>
      </w:pPr>
      <w:r>
        <w:rPr>
          <w:b/>
          <w:szCs w:val="24"/>
        </w:rPr>
        <w:t>Siła wyższa</w:t>
      </w:r>
    </w:p>
    <w:p w:rsidR="008C529D" w:rsidRDefault="008C529D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Strony nie ponoszą odpowiedzialności za niewykonanie lub nienależyte wykonanie Deklaracji spowodowane siłą wyższą tj. zdarzeniem nagłym, zewnętrznym, nieprzewidywalnym i niezależnym od woli Stron powstałym po zawarciu Umowy, któremu nie można zapobiec, ani przeciwdziałać przy zachowaniu należytej staranności Stron. Przejawami siły wyższej są w szczególności:</w:t>
      </w:r>
    </w:p>
    <w:p w:rsidR="008C529D" w:rsidRDefault="008C529D">
      <w:pPr>
        <w:numPr>
          <w:ilvl w:val="0"/>
          <w:numId w:val="11"/>
        </w:numPr>
        <w:tabs>
          <w:tab w:val="left" w:pos="851"/>
        </w:tabs>
        <w:spacing w:before="0" w:after="0" w:line="36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>klęski żywiołowe, w tym pożar, powódź, susza, trzęsienie ziemi, huragan, sadź;</w:t>
      </w:r>
    </w:p>
    <w:p w:rsidR="008C529D" w:rsidRDefault="008C529D">
      <w:pPr>
        <w:numPr>
          <w:ilvl w:val="0"/>
          <w:numId w:val="11"/>
        </w:numPr>
        <w:tabs>
          <w:tab w:val="left" w:pos="851"/>
        </w:tabs>
        <w:spacing w:before="0" w:after="0" w:line="36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długotrwałe awarie zasilania, których usunięcie nie zależy od żadnej ze Stron </w:t>
      </w:r>
      <w:r>
        <w:rPr>
          <w:sz w:val="22"/>
          <w:szCs w:val="22"/>
        </w:rPr>
        <w:tab/>
        <w:t>Umowy;</w:t>
      </w:r>
    </w:p>
    <w:p w:rsidR="008C529D" w:rsidRDefault="008C529D">
      <w:pPr>
        <w:numPr>
          <w:ilvl w:val="0"/>
          <w:numId w:val="11"/>
        </w:numPr>
        <w:tabs>
          <w:tab w:val="left" w:pos="851"/>
        </w:tabs>
        <w:spacing w:before="0" w:after="0" w:line="36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akty władzy państwowej, w tym stan wojenny, stan wyjątkowy, embarga, blokady </w:t>
      </w:r>
      <w:r>
        <w:rPr>
          <w:sz w:val="22"/>
          <w:szCs w:val="22"/>
        </w:rPr>
        <w:tab/>
        <w:t>itp.;</w:t>
      </w:r>
    </w:p>
    <w:p w:rsidR="008C529D" w:rsidRDefault="008C529D">
      <w:pPr>
        <w:numPr>
          <w:ilvl w:val="0"/>
          <w:numId w:val="11"/>
        </w:numPr>
        <w:tabs>
          <w:tab w:val="left" w:pos="851"/>
        </w:tabs>
        <w:spacing w:before="0" w:after="0" w:line="36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>działania wojenne, akty sabotażu; akty terroru;</w:t>
      </w:r>
    </w:p>
    <w:p w:rsidR="008C529D" w:rsidRDefault="008C529D">
      <w:pPr>
        <w:numPr>
          <w:ilvl w:val="0"/>
          <w:numId w:val="11"/>
        </w:numPr>
        <w:tabs>
          <w:tab w:val="left" w:pos="851"/>
        </w:tabs>
        <w:spacing w:before="0" w:after="0" w:line="36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>strajki powszechne, nie obejmujące personelu Stron.</w:t>
      </w:r>
    </w:p>
    <w:p w:rsidR="008C529D" w:rsidRDefault="008C529D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Strona, która nie jest w stanie wykonać swoich zobowiązań z przyczyn stanowiących okoliczność siły wyższej niezwłocznie zawiadomi druga Stronę o takiej okoliczności i jej ustaniu.</w:t>
      </w:r>
    </w:p>
    <w:p w:rsidR="008C529D" w:rsidRDefault="008C529D">
      <w:pPr>
        <w:spacing w:line="360" w:lineRule="auto"/>
        <w:ind w:left="360"/>
        <w:rPr>
          <w:sz w:val="22"/>
          <w:szCs w:val="22"/>
        </w:rPr>
      </w:pPr>
    </w:p>
    <w:p w:rsidR="008C529D" w:rsidRDefault="008C529D">
      <w:pPr>
        <w:spacing w:line="360" w:lineRule="auto"/>
        <w:ind w:left="360"/>
        <w:rPr>
          <w:sz w:val="22"/>
          <w:szCs w:val="22"/>
        </w:rPr>
      </w:pPr>
    </w:p>
    <w:p w:rsidR="008C529D" w:rsidRDefault="008C529D">
      <w:pPr>
        <w:numPr>
          <w:ilvl w:val="0"/>
          <w:numId w:val="10"/>
        </w:numPr>
        <w:spacing w:line="312" w:lineRule="auto"/>
        <w:ind w:left="0" w:firstLine="0"/>
        <w:jc w:val="center"/>
        <w:rPr>
          <w:b/>
          <w:szCs w:val="24"/>
        </w:rPr>
      </w:pPr>
    </w:p>
    <w:p w:rsidR="008C529D" w:rsidRDefault="008C529D">
      <w:pPr>
        <w:spacing w:line="360" w:lineRule="auto"/>
        <w:jc w:val="center"/>
        <w:rPr>
          <w:bCs/>
          <w:sz w:val="22"/>
          <w:szCs w:val="22"/>
        </w:rPr>
      </w:pPr>
      <w:r>
        <w:rPr>
          <w:b/>
          <w:szCs w:val="24"/>
        </w:rPr>
        <w:t>Bezpieczeństwo i Data Center</w:t>
      </w:r>
    </w:p>
    <w:p w:rsidR="008C09AB" w:rsidRDefault="005D70D7" w:rsidP="008C09AB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 w:rsidRPr="008C09AB">
        <w:rPr>
          <w:bCs/>
          <w:sz w:val="22"/>
          <w:szCs w:val="22"/>
        </w:rPr>
        <w:t>Dostawca Usług</w:t>
      </w:r>
      <w:r w:rsidR="008C529D" w:rsidRPr="008C09AB">
        <w:rPr>
          <w:bCs/>
          <w:sz w:val="22"/>
          <w:szCs w:val="22"/>
        </w:rPr>
        <w:t xml:space="preserve"> informuje, że w Zespole Serwisu </w:t>
      </w:r>
      <w:r w:rsidRPr="008C09AB">
        <w:rPr>
          <w:bCs/>
          <w:sz w:val="22"/>
          <w:szCs w:val="22"/>
        </w:rPr>
        <w:t>Dostawcy Usług</w:t>
      </w:r>
      <w:r w:rsidR="008C529D" w:rsidRPr="008C09AB">
        <w:rPr>
          <w:bCs/>
          <w:sz w:val="22"/>
          <w:szCs w:val="22"/>
        </w:rPr>
        <w:t xml:space="preserve"> wdrożony jest System Zarządzania Bezpieczeństwem (SZB) opracowany w zgodzie z normą ISO/IEC 27001. </w:t>
      </w:r>
    </w:p>
    <w:p w:rsidR="008C529D" w:rsidRPr="008C09AB" w:rsidRDefault="008C529D" w:rsidP="008C09AB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 w:rsidRPr="008C09AB">
        <w:rPr>
          <w:sz w:val="22"/>
          <w:szCs w:val="22"/>
        </w:rPr>
        <w:t>Oferowane rozwiązania są skalowalne i posiadają fizyczne adresy na terenie UE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Nasze środowiska są budowane na platformach posiadających certyfikat ISO 27001 (bezpieczeństwo). 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Wszystkie zasoby posiadają gwarancję </w:t>
      </w:r>
      <w:r>
        <w:rPr>
          <w:rStyle w:val="bold"/>
          <w:sz w:val="22"/>
          <w:szCs w:val="22"/>
        </w:rPr>
        <w:t>99,1%</w:t>
      </w:r>
      <w:r>
        <w:rPr>
          <w:sz w:val="22"/>
          <w:szCs w:val="22"/>
        </w:rPr>
        <w:t xml:space="preserve"> dostępności. 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W przypadku archiwizacji i przestrzeni dyskowej, gwarantujemy niezawodność (trwałość) na poziomie </w:t>
      </w:r>
      <w:r>
        <w:rPr>
          <w:rStyle w:val="bold"/>
          <w:sz w:val="22"/>
          <w:szCs w:val="22"/>
        </w:rPr>
        <w:t>99,5%</w:t>
      </w:r>
      <w:r>
        <w:rPr>
          <w:sz w:val="22"/>
          <w:szCs w:val="22"/>
        </w:rPr>
        <w:t xml:space="preserve"> dla umieszczonych plików: 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hanging="1847"/>
        <w:rPr>
          <w:sz w:val="22"/>
          <w:szCs w:val="22"/>
        </w:rPr>
      </w:pPr>
      <w:r>
        <w:rPr>
          <w:sz w:val="22"/>
          <w:szCs w:val="22"/>
        </w:rPr>
        <w:t>Replikacja wielu stron;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hanging="1847"/>
        <w:rPr>
          <w:sz w:val="22"/>
          <w:szCs w:val="22"/>
        </w:rPr>
      </w:pPr>
      <w:r>
        <w:rPr>
          <w:sz w:val="22"/>
          <w:szCs w:val="22"/>
        </w:rPr>
        <w:t>Kontrolowanie integralności plików;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hanging="1847"/>
        <w:rPr>
          <w:sz w:val="22"/>
          <w:szCs w:val="22"/>
        </w:rPr>
      </w:pPr>
      <w:r>
        <w:rPr>
          <w:sz w:val="22"/>
          <w:szCs w:val="22"/>
        </w:rPr>
        <w:t>Przenoszenie tylko poprzez bezpieczne protokoły;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hanging="1847"/>
        <w:rPr>
          <w:sz w:val="22"/>
          <w:szCs w:val="22"/>
        </w:rPr>
      </w:pPr>
      <w:r>
        <w:rPr>
          <w:sz w:val="22"/>
          <w:szCs w:val="22"/>
        </w:rPr>
        <w:t>Wymiana uszkodzonych zasobów w kilka minut.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Każdy element wchodzący w skład infrastruktury jest dedykowany. Oznacza to, wirtualne maszyny na fizycznych serwerach (hostach).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Każdy element infrastruktury jest redundantny. Zasilacze w serwerach, podłączenia elektryczne, przestrzeń dyskowa, routery, </w:t>
      </w:r>
      <w:proofErr w:type="spellStart"/>
      <w:r>
        <w:rPr>
          <w:sz w:val="22"/>
          <w:szCs w:val="22"/>
        </w:rPr>
        <w:t>switche</w:t>
      </w:r>
      <w:proofErr w:type="spellEnd"/>
      <w:r>
        <w:rPr>
          <w:sz w:val="22"/>
          <w:szCs w:val="22"/>
        </w:rPr>
        <w:t xml:space="preserve"> mają podwójną konfigurację i korzystają z dwóch systemów zasilających. Pozwala to na zapewnienie poziomu usługi bliskiego 100%.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Ochrona Fizyczna serwerów</w:t>
      </w:r>
      <w:r w:rsidR="00292ACE">
        <w:rPr>
          <w:sz w:val="22"/>
          <w:szCs w:val="22"/>
        </w:rPr>
        <w:t>: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left="709" w:hanging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Aby uniknąć włamań, każda strefa jest zabezpieczona ogrodzeniami wyposażonymi w drut kolczasty. 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left="709" w:hanging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System video monitoringu i wykrywania ruchu. Czynności wykonywane w centrach danych i poza budynkami są monitorowane i rejestrowane na zabezpieczonych serwerach. 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left="709" w:hanging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Zespoły monitorujące są dostępne 24/24, 7/7. 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left="709" w:hanging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Aby kontrolować i monitorować dostęp na teren, zostały uruchomione ścisłe procedury bezpieczeństwa. Każdy członek personelu jest wyposażony w indywidualny identyfikator RFID, do którego są przypisane jego uprawnienia. Uprawnienia te są regularnie sprawdzane. 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Serwerownie korzystają z jeszcze bardziej zaawansowanej ochrony, ponieważ dostęp tu </w:t>
      </w:r>
      <w:r>
        <w:rPr>
          <w:sz w:val="22"/>
          <w:szCs w:val="22"/>
        </w:rPr>
        <w:lastRenderedPageBreak/>
        <w:t xml:space="preserve">ma tylko uprawniony personel. 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Każda sala w każdym centrum danych jest wyposażona w system wykrywania i gaszenia pożarów jak również w drzwi przeciwpożarowe. Wdrożona jest reguła APSAD R4 dotyczącą instalowania przenośnych gaśnic i posiada certyfikat zgodności N4 dla wszystkich serwerowni.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Centra danych są zasilane przez dwa niezależne podłączenia elektryczne i są również wyposażone w zasilacze. Grupy zasilające o wytrzymałości 48 godzin pozwalają na uniknięcie ewentualnej awarii sieci elektrycznej.</w:t>
      </w:r>
    </w:p>
    <w:p w:rsidR="008C529D" w:rsidRDefault="008C529D">
      <w:pPr>
        <w:widowControl w:val="0"/>
        <w:numPr>
          <w:ilvl w:val="0"/>
          <w:numId w:val="6"/>
        </w:numPr>
        <w:autoSpaceDE w:val="0"/>
        <w:spacing w:before="0" w:after="0" w:line="360" w:lineRule="auto"/>
        <w:ind w:left="426" w:hanging="426"/>
        <w:rPr>
          <w:bCs/>
          <w:sz w:val="22"/>
          <w:szCs w:val="22"/>
        </w:rPr>
      </w:pPr>
      <w:r>
        <w:rPr>
          <w:sz w:val="22"/>
          <w:szCs w:val="22"/>
        </w:rPr>
        <w:t>Certyfikaty bezpieczeństwa Data Center: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left="709" w:hanging="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certyfikat ISO 27001:2005 dla rozwiązań </w:t>
      </w:r>
      <w:proofErr w:type="spellStart"/>
      <w:r>
        <w:rPr>
          <w:bCs/>
          <w:sz w:val="22"/>
          <w:szCs w:val="22"/>
        </w:rPr>
        <w:t>Dedicated</w:t>
      </w:r>
      <w:proofErr w:type="spellEnd"/>
      <w:r>
        <w:rPr>
          <w:bCs/>
          <w:sz w:val="22"/>
          <w:szCs w:val="22"/>
        </w:rPr>
        <w:t xml:space="preserve"> Cloud;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left="709" w:hanging="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Standard ten potwierdza uruchomienie organizacji bezpieczeństwa;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left="709" w:hanging="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Poziom bezpieczeństwa usługi </w:t>
      </w:r>
      <w:proofErr w:type="spellStart"/>
      <w:r>
        <w:rPr>
          <w:bCs/>
          <w:sz w:val="22"/>
          <w:szCs w:val="22"/>
        </w:rPr>
        <w:t>Dedicated</w:t>
      </w:r>
      <w:proofErr w:type="spellEnd"/>
      <w:r>
        <w:rPr>
          <w:bCs/>
          <w:sz w:val="22"/>
          <w:szCs w:val="22"/>
        </w:rPr>
        <w:t xml:space="preserve"> Cloud został również uznany poprzez certyfikaty SOC 1 typ I (SSAE 16 i ISAE 3402) i SOC 2 typ I;</w:t>
      </w:r>
    </w:p>
    <w:p w:rsidR="008C529D" w:rsidRDefault="008C529D">
      <w:pPr>
        <w:widowControl w:val="0"/>
        <w:numPr>
          <w:ilvl w:val="1"/>
          <w:numId w:val="6"/>
        </w:numPr>
        <w:autoSpaceDE w:val="0"/>
        <w:spacing w:before="0" w:after="0" w:line="360" w:lineRule="auto"/>
        <w:ind w:left="709" w:hanging="283"/>
        <w:jc w:val="left"/>
      </w:pPr>
      <w:r>
        <w:rPr>
          <w:bCs/>
          <w:sz w:val="22"/>
          <w:szCs w:val="22"/>
        </w:rPr>
        <w:t>Te międzynarodowe certyfikaty gwarantują wprowadzenie i skuteczność wewnętrznych kontroli związanych z bezpieczeństwem systemu informacji</w:t>
      </w:r>
    </w:p>
    <w:sectPr w:rsidR="008C529D" w:rsidSect="006C7B0A">
      <w:footerReference w:type="default" r:id="rId7"/>
      <w:footerReference w:type="first" r:id="rId8"/>
      <w:pgSz w:w="11906" w:h="16838"/>
      <w:pgMar w:top="815" w:right="1417" w:bottom="2336" w:left="1417" w:header="708" w:footer="9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28" w:rsidRDefault="007E6D28">
      <w:pPr>
        <w:spacing w:before="0" w:after="0" w:line="240" w:lineRule="auto"/>
      </w:pPr>
      <w:r>
        <w:separator/>
      </w:r>
    </w:p>
  </w:endnote>
  <w:endnote w:type="continuationSeparator" w:id="0">
    <w:p w:rsidR="007E6D28" w:rsidRDefault="007E6D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9D" w:rsidRDefault="008C529D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00"/>
      </w:tabs>
      <w:jc w:val="right"/>
    </w:pPr>
    <w:r>
      <w:rPr>
        <w:sz w:val="12"/>
        <w:szCs w:val="12"/>
      </w:rPr>
      <w:t>Strona</w:t>
    </w:r>
    <w:r>
      <w:rPr>
        <w:sz w:val="12"/>
        <w:szCs w:val="12"/>
        <w:lang w:val="en-US"/>
      </w:rPr>
      <w:t xml:space="preserve"> </w:t>
    </w:r>
    <w:r w:rsidR="00D620B8"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 w:rsidR="00D620B8">
      <w:rPr>
        <w:sz w:val="12"/>
        <w:szCs w:val="12"/>
      </w:rPr>
      <w:fldChar w:fldCharType="separate"/>
    </w:r>
    <w:r w:rsidR="00277D6C">
      <w:rPr>
        <w:noProof/>
        <w:sz w:val="12"/>
        <w:szCs w:val="12"/>
      </w:rPr>
      <w:t>7</w:t>
    </w:r>
    <w:r w:rsidR="00D620B8">
      <w:rPr>
        <w:sz w:val="12"/>
        <w:szCs w:val="12"/>
      </w:rPr>
      <w:fldChar w:fldCharType="end"/>
    </w:r>
    <w:r>
      <w:rPr>
        <w:sz w:val="12"/>
        <w:szCs w:val="12"/>
      </w:rPr>
      <w:t xml:space="preserve"> z </w:t>
    </w:r>
    <w:r w:rsidR="00D620B8"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\* ARABIC </w:instrText>
    </w:r>
    <w:r w:rsidR="00D620B8">
      <w:rPr>
        <w:sz w:val="12"/>
        <w:szCs w:val="12"/>
      </w:rPr>
      <w:fldChar w:fldCharType="separate"/>
    </w:r>
    <w:r w:rsidR="00277D6C">
      <w:rPr>
        <w:noProof/>
        <w:sz w:val="12"/>
        <w:szCs w:val="12"/>
      </w:rPr>
      <w:t>7</w:t>
    </w:r>
    <w:r w:rsidR="00D620B8">
      <w:rPr>
        <w:sz w:val="12"/>
        <w:szCs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9D" w:rsidRDefault="008C52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28" w:rsidRDefault="007E6D28">
      <w:pPr>
        <w:spacing w:before="0" w:after="0" w:line="240" w:lineRule="auto"/>
      </w:pPr>
      <w:r>
        <w:separator/>
      </w:r>
    </w:p>
  </w:footnote>
  <w:footnote w:type="continuationSeparator" w:id="0">
    <w:p w:rsidR="007E6D28" w:rsidRDefault="007E6D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Punktklauzuli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180" w:hanging="360"/>
      </w:pPr>
      <w:rPr>
        <w:rFonts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273" w:hanging="360"/>
      </w:pPr>
      <w:rPr>
        <w:rFonts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3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suff w:val="nothing"/>
      <w:lvlText w:val="§ %1"/>
      <w:lvlJc w:val="left"/>
      <w:pPr>
        <w:tabs>
          <w:tab w:val="num" w:pos="0"/>
        </w:tabs>
        <w:ind w:left="227" w:firstLine="49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pl-P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A3C"/>
    <w:rsid w:val="00007E95"/>
    <w:rsid w:val="00277D6C"/>
    <w:rsid w:val="00292650"/>
    <w:rsid w:val="00292ACE"/>
    <w:rsid w:val="00333B75"/>
    <w:rsid w:val="00461C99"/>
    <w:rsid w:val="004A77BA"/>
    <w:rsid w:val="005D70D7"/>
    <w:rsid w:val="006C7B0A"/>
    <w:rsid w:val="00776ABC"/>
    <w:rsid w:val="00791564"/>
    <w:rsid w:val="007E6D28"/>
    <w:rsid w:val="00831A19"/>
    <w:rsid w:val="008C09AB"/>
    <w:rsid w:val="008C529D"/>
    <w:rsid w:val="00A12641"/>
    <w:rsid w:val="00C16DC5"/>
    <w:rsid w:val="00CA166A"/>
    <w:rsid w:val="00D620B8"/>
    <w:rsid w:val="00D76A3C"/>
    <w:rsid w:val="00DA1709"/>
    <w:rsid w:val="00E5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B0A"/>
    <w:pPr>
      <w:suppressAutoHyphens/>
      <w:spacing w:before="60" w:after="60" w:line="240" w:lineRule="atLeast"/>
      <w:jc w:val="both"/>
    </w:pPr>
    <w:rPr>
      <w:rFonts w:ascii="Arial" w:hAnsi="Arial" w:cs="Arial"/>
      <w:sz w:val="24"/>
      <w:lang w:eastAsia="zh-CN"/>
    </w:rPr>
  </w:style>
  <w:style w:type="paragraph" w:styleId="Nagwek1">
    <w:name w:val="heading 1"/>
    <w:basedOn w:val="Normalny"/>
    <w:next w:val="Normalny"/>
    <w:qFormat/>
    <w:rsid w:val="006C7B0A"/>
    <w:pPr>
      <w:numPr>
        <w:numId w:val="1"/>
      </w:numPr>
      <w:spacing w:before="0" w:after="0" w:line="360" w:lineRule="auto"/>
      <w:outlineLvl w:val="0"/>
    </w:pPr>
    <w:rPr>
      <w:spacing w:val="-3"/>
      <w:lang w:eastAsia="pl-PL"/>
    </w:rPr>
  </w:style>
  <w:style w:type="paragraph" w:styleId="Nagwek2">
    <w:name w:val="heading 2"/>
    <w:basedOn w:val="Normalny"/>
    <w:next w:val="Normalny"/>
    <w:qFormat/>
    <w:rsid w:val="006C7B0A"/>
    <w:pPr>
      <w:keepNext/>
      <w:numPr>
        <w:ilvl w:val="1"/>
        <w:numId w:val="1"/>
      </w:numPr>
      <w:spacing w:before="24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C7B0A"/>
  </w:style>
  <w:style w:type="character" w:customStyle="1" w:styleId="WW8Num1z1">
    <w:name w:val="WW8Num1z1"/>
    <w:rsid w:val="006C7B0A"/>
    <w:rPr>
      <w:rFonts w:hint="default"/>
      <w:b w:val="0"/>
      <w:i w:val="0"/>
    </w:rPr>
  </w:style>
  <w:style w:type="character" w:customStyle="1" w:styleId="WW8Num1z2">
    <w:name w:val="WW8Num1z2"/>
    <w:rsid w:val="006C7B0A"/>
    <w:rPr>
      <w:rFonts w:hint="default"/>
    </w:rPr>
  </w:style>
  <w:style w:type="character" w:customStyle="1" w:styleId="WW8Num2z0">
    <w:name w:val="WW8Num2z0"/>
    <w:rsid w:val="006C7B0A"/>
    <w:rPr>
      <w:rFonts w:ascii="Arial" w:hAnsi="Arial" w:cs="Arial"/>
      <w:sz w:val="22"/>
      <w:szCs w:val="22"/>
      <w:lang w:eastAsia="pl-PL"/>
    </w:rPr>
  </w:style>
  <w:style w:type="character" w:customStyle="1" w:styleId="WW8Num2z1">
    <w:name w:val="WW8Num2z1"/>
    <w:rsid w:val="006C7B0A"/>
  </w:style>
  <w:style w:type="character" w:customStyle="1" w:styleId="WW8Num2z2">
    <w:name w:val="WW8Num2z2"/>
    <w:rsid w:val="006C7B0A"/>
  </w:style>
  <w:style w:type="character" w:customStyle="1" w:styleId="WW8Num2z3">
    <w:name w:val="WW8Num2z3"/>
    <w:rsid w:val="006C7B0A"/>
  </w:style>
  <w:style w:type="character" w:customStyle="1" w:styleId="WW8Num2z4">
    <w:name w:val="WW8Num2z4"/>
    <w:rsid w:val="006C7B0A"/>
  </w:style>
  <w:style w:type="character" w:customStyle="1" w:styleId="WW8Num2z5">
    <w:name w:val="WW8Num2z5"/>
    <w:rsid w:val="006C7B0A"/>
  </w:style>
  <w:style w:type="character" w:customStyle="1" w:styleId="WW8Num2z6">
    <w:name w:val="WW8Num2z6"/>
    <w:rsid w:val="006C7B0A"/>
  </w:style>
  <w:style w:type="character" w:customStyle="1" w:styleId="WW8Num2z7">
    <w:name w:val="WW8Num2z7"/>
    <w:rsid w:val="006C7B0A"/>
  </w:style>
  <w:style w:type="character" w:customStyle="1" w:styleId="WW8Num2z8">
    <w:name w:val="WW8Num2z8"/>
    <w:rsid w:val="006C7B0A"/>
  </w:style>
  <w:style w:type="character" w:customStyle="1" w:styleId="WW8Num3z0">
    <w:name w:val="WW8Num3z0"/>
    <w:rsid w:val="006C7B0A"/>
  </w:style>
  <w:style w:type="character" w:customStyle="1" w:styleId="WW8Num3z1">
    <w:name w:val="WW8Num3z1"/>
    <w:rsid w:val="006C7B0A"/>
  </w:style>
  <w:style w:type="character" w:customStyle="1" w:styleId="WW8Num3z2">
    <w:name w:val="WW8Num3z2"/>
    <w:rsid w:val="006C7B0A"/>
  </w:style>
  <w:style w:type="character" w:customStyle="1" w:styleId="WW8Num3z3">
    <w:name w:val="WW8Num3z3"/>
    <w:rsid w:val="006C7B0A"/>
  </w:style>
  <w:style w:type="character" w:customStyle="1" w:styleId="WW8Num3z4">
    <w:name w:val="WW8Num3z4"/>
    <w:rsid w:val="006C7B0A"/>
  </w:style>
  <w:style w:type="character" w:customStyle="1" w:styleId="WW8Num3z5">
    <w:name w:val="WW8Num3z5"/>
    <w:rsid w:val="006C7B0A"/>
  </w:style>
  <w:style w:type="character" w:customStyle="1" w:styleId="WW8Num3z6">
    <w:name w:val="WW8Num3z6"/>
    <w:rsid w:val="006C7B0A"/>
  </w:style>
  <w:style w:type="character" w:customStyle="1" w:styleId="WW8Num3z7">
    <w:name w:val="WW8Num3z7"/>
    <w:rsid w:val="006C7B0A"/>
  </w:style>
  <w:style w:type="character" w:customStyle="1" w:styleId="WW8Num3z8">
    <w:name w:val="WW8Num3z8"/>
    <w:rsid w:val="006C7B0A"/>
  </w:style>
  <w:style w:type="character" w:customStyle="1" w:styleId="WW8Num4z0">
    <w:name w:val="WW8Num4z0"/>
    <w:rsid w:val="006C7B0A"/>
  </w:style>
  <w:style w:type="character" w:customStyle="1" w:styleId="WW8Num4z1">
    <w:name w:val="WW8Num4z1"/>
    <w:rsid w:val="006C7B0A"/>
  </w:style>
  <w:style w:type="character" w:customStyle="1" w:styleId="WW8Num4z2">
    <w:name w:val="WW8Num4z2"/>
    <w:rsid w:val="006C7B0A"/>
  </w:style>
  <w:style w:type="character" w:customStyle="1" w:styleId="WW8Num4z3">
    <w:name w:val="WW8Num4z3"/>
    <w:rsid w:val="006C7B0A"/>
  </w:style>
  <w:style w:type="character" w:customStyle="1" w:styleId="WW8Num4z4">
    <w:name w:val="WW8Num4z4"/>
    <w:rsid w:val="006C7B0A"/>
  </w:style>
  <w:style w:type="character" w:customStyle="1" w:styleId="WW8Num4z5">
    <w:name w:val="WW8Num4z5"/>
    <w:rsid w:val="006C7B0A"/>
  </w:style>
  <w:style w:type="character" w:customStyle="1" w:styleId="WW8Num4z6">
    <w:name w:val="WW8Num4z6"/>
    <w:rsid w:val="006C7B0A"/>
  </w:style>
  <w:style w:type="character" w:customStyle="1" w:styleId="WW8Num4z7">
    <w:name w:val="WW8Num4z7"/>
    <w:rsid w:val="006C7B0A"/>
  </w:style>
  <w:style w:type="character" w:customStyle="1" w:styleId="WW8Num4z8">
    <w:name w:val="WW8Num4z8"/>
    <w:rsid w:val="006C7B0A"/>
  </w:style>
  <w:style w:type="character" w:customStyle="1" w:styleId="WW8Num5z0">
    <w:name w:val="WW8Num5z0"/>
    <w:rsid w:val="006C7B0A"/>
    <w:rPr>
      <w:rFonts w:cs="Arial" w:hint="default"/>
      <w:sz w:val="22"/>
      <w:szCs w:val="22"/>
    </w:rPr>
  </w:style>
  <w:style w:type="character" w:customStyle="1" w:styleId="WW8Num5z1">
    <w:name w:val="WW8Num5z1"/>
    <w:rsid w:val="006C7B0A"/>
  </w:style>
  <w:style w:type="character" w:customStyle="1" w:styleId="WW8Num5z2">
    <w:name w:val="WW8Num5z2"/>
    <w:rsid w:val="006C7B0A"/>
  </w:style>
  <w:style w:type="character" w:customStyle="1" w:styleId="WW8Num5z3">
    <w:name w:val="WW8Num5z3"/>
    <w:rsid w:val="006C7B0A"/>
  </w:style>
  <w:style w:type="character" w:customStyle="1" w:styleId="WW8Num5z4">
    <w:name w:val="WW8Num5z4"/>
    <w:rsid w:val="006C7B0A"/>
  </w:style>
  <w:style w:type="character" w:customStyle="1" w:styleId="WW8Num5z5">
    <w:name w:val="WW8Num5z5"/>
    <w:rsid w:val="006C7B0A"/>
  </w:style>
  <w:style w:type="character" w:customStyle="1" w:styleId="WW8Num5z6">
    <w:name w:val="WW8Num5z6"/>
    <w:rsid w:val="006C7B0A"/>
  </w:style>
  <w:style w:type="character" w:customStyle="1" w:styleId="WW8Num5z7">
    <w:name w:val="WW8Num5z7"/>
    <w:rsid w:val="006C7B0A"/>
  </w:style>
  <w:style w:type="character" w:customStyle="1" w:styleId="WW8Num5z8">
    <w:name w:val="WW8Num5z8"/>
    <w:rsid w:val="006C7B0A"/>
  </w:style>
  <w:style w:type="character" w:customStyle="1" w:styleId="WW8Num6z0">
    <w:name w:val="WW8Num6z0"/>
    <w:rsid w:val="006C7B0A"/>
    <w:rPr>
      <w:rFonts w:cs="Arial"/>
      <w:bCs/>
      <w:sz w:val="22"/>
      <w:szCs w:val="22"/>
    </w:rPr>
  </w:style>
  <w:style w:type="character" w:customStyle="1" w:styleId="WW8Num6z1">
    <w:name w:val="WW8Num6z1"/>
    <w:rsid w:val="006C7B0A"/>
    <w:rPr>
      <w:rFonts w:cs="Arial"/>
      <w:bCs/>
      <w:sz w:val="22"/>
      <w:szCs w:val="22"/>
    </w:rPr>
  </w:style>
  <w:style w:type="character" w:customStyle="1" w:styleId="WW8Num6z2">
    <w:name w:val="WW8Num6z2"/>
    <w:rsid w:val="006C7B0A"/>
  </w:style>
  <w:style w:type="character" w:customStyle="1" w:styleId="WW8Num6z3">
    <w:name w:val="WW8Num6z3"/>
    <w:rsid w:val="006C7B0A"/>
  </w:style>
  <w:style w:type="character" w:customStyle="1" w:styleId="WW8Num6z4">
    <w:name w:val="WW8Num6z4"/>
    <w:rsid w:val="006C7B0A"/>
  </w:style>
  <w:style w:type="character" w:customStyle="1" w:styleId="WW8Num6z5">
    <w:name w:val="WW8Num6z5"/>
    <w:rsid w:val="006C7B0A"/>
  </w:style>
  <w:style w:type="character" w:customStyle="1" w:styleId="WW8Num6z6">
    <w:name w:val="WW8Num6z6"/>
    <w:rsid w:val="006C7B0A"/>
  </w:style>
  <w:style w:type="character" w:customStyle="1" w:styleId="WW8Num6z7">
    <w:name w:val="WW8Num6z7"/>
    <w:rsid w:val="006C7B0A"/>
  </w:style>
  <w:style w:type="character" w:customStyle="1" w:styleId="WW8Num6z8">
    <w:name w:val="WW8Num6z8"/>
    <w:rsid w:val="006C7B0A"/>
  </w:style>
  <w:style w:type="character" w:customStyle="1" w:styleId="WW8Num7z0">
    <w:name w:val="WW8Num7z0"/>
    <w:rsid w:val="006C7B0A"/>
    <w:rPr>
      <w:rFonts w:cs="Arial"/>
      <w:sz w:val="22"/>
      <w:szCs w:val="22"/>
    </w:rPr>
  </w:style>
  <w:style w:type="character" w:customStyle="1" w:styleId="WW8Num7z1">
    <w:name w:val="WW8Num7z1"/>
    <w:rsid w:val="006C7B0A"/>
  </w:style>
  <w:style w:type="character" w:customStyle="1" w:styleId="WW8Num7z2">
    <w:name w:val="WW8Num7z2"/>
    <w:rsid w:val="006C7B0A"/>
  </w:style>
  <w:style w:type="character" w:customStyle="1" w:styleId="WW8Num7z3">
    <w:name w:val="WW8Num7z3"/>
    <w:rsid w:val="006C7B0A"/>
  </w:style>
  <w:style w:type="character" w:customStyle="1" w:styleId="WW8Num7z4">
    <w:name w:val="WW8Num7z4"/>
    <w:rsid w:val="006C7B0A"/>
  </w:style>
  <w:style w:type="character" w:customStyle="1" w:styleId="WW8Num7z5">
    <w:name w:val="WW8Num7z5"/>
    <w:rsid w:val="006C7B0A"/>
  </w:style>
  <w:style w:type="character" w:customStyle="1" w:styleId="WW8Num7z6">
    <w:name w:val="WW8Num7z6"/>
    <w:rsid w:val="006C7B0A"/>
  </w:style>
  <w:style w:type="character" w:customStyle="1" w:styleId="WW8Num7z7">
    <w:name w:val="WW8Num7z7"/>
    <w:rsid w:val="006C7B0A"/>
  </w:style>
  <w:style w:type="character" w:customStyle="1" w:styleId="WW8Num7z8">
    <w:name w:val="WW8Num7z8"/>
    <w:rsid w:val="006C7B0A"/>
  </w:style>
  <w:style w:type="character" w:customStyle="1" w:styleId="WW8Num8z0">
    <w:name w:val="WW8Num8z0"/>
    <w:rsid w:val="006C7B0A"/>
    <w:rPr>
      <w:rFonts w:cs="Arial" w:hint="default"/>
      <w:sz w:val="22"/>
      <w:szCs w:val="22"/>
    </w:rPr>
  </w:style>
  <w:style w:type="character" w:customStyle="1" w:styleId="WW8Num8z1">
    <w:name w:val="WW8Num8z1"/>
    <w:rsid w:val="006C7B0A"/>
  </w:style>
  <w:style w:type="character" w:customStyle="1" w:styleId="WW8Num8z2">
    <w:name w:val="WW8Num8z2"/>
    <w:rsid w:val="006C7B0A"/>
  </w:style>
  <w:style w:type="character" w:customStyle="1" w:styleId="WW8Num8z3">
    <w:name w:val="WW8Num8z3"/>
    <w:rsid w:val="006C7B0A"/>
  </w:style>
  <w:style w:type="character" w:customStyle="1" w:styleId="WW8Num8z4">
    <w:name w:val="WW8Num8z4"/>
    <w:rsid w:val="006C7B0A"/>
  </w:style>
  <w:style w:type="character" w:customStyle="1" w:styleId="WW8Num8z5">
    <w:name w:val="WW8Num8z5"/>
    <w:rsid w:val="006C7B0A"/>
  </w:style>
  <w:style w:type="character" w:customStyle="1" w:styleId="WW8Num8z6">
    <w:name w:val="WW8Num8z6"/>
    <w:rsid w:val="006C7B0A"/>
  </w:style>
  <w:style w:type="character" w:customStyle="1" w:styleId="WW8Num8z7">
    <w:name w:val="WW8Num8z7"/>
    <w:rsid w:val="006C7B0A"/>
  </w:style>
  <w:style w:type="character" w:customStyle="1" w:styleId="WW8Num8z8">
    <w:name w:val="WW8Num8z8"/>
    <w:rsid w:val="006C7B0A"/>
  </w:style>
  <w:style w:type="character" w:customStyle="1" w:styleId="WW8Num9z0">
    <w:name w:val="WW8Num9z0"/>
    <w:rsid w:val="006C7B0A"/>
    <w:rPr>
      <w:rFonts w:ascii="Symbol" w:hAnsi="Symbol" w:cs="Symbol" w:hint="default"/>
      <w:sz w:val="22"/>
      <w:szCs w:val="22"/>
    </w:rPr>
  </w:style>
  <w:style w:type="character" w:customStyle="1" w:styleId="WW8Num9z1">
    <w:name w:val="WW8Num9z1"/>
    <w:rsid w:val="006C7B0A"/>
    <w:rPr>
      <w:rFonts w:ascii="Courier New" w:hAnsi="Courier New" w:cs="Courier New" w:hint="default"/>
    </w:rPr>
  </w:style>
  <w:style w:type="character" w:customStyle="1" w:styleId="WW8Num9z2">
    <w:name w:val="WW8Num9z2"/>
    <w:rsid w:val="006C7B0A"/>
    <w:rPr>
      <w:rFonts w:ascii="Wingdings" w:hAnsi="Wingdings" w:cs="Wingdings" w:hint="default"/>
    </w:rPr>
  </w:style>
  <w:style w:type="character" w:customStyle="1" w:styleId="WW8Num10z0">
    <w:name w:val="WW8Num10z0"/>
    <w:rsid w:val="006C7B0A"/>
    <w:rPr>
      <w:rFonts w:hint="default"/>
      <w:b/>
    </w:rPr>
  </w:style>
  <w:style w:type="character" w:customStyle="1" w:styleId="WW8Num10z1">
    <w:name w:val="WW8Num10z1"/>
    <w:rsid w:val="006C7B0A"/>
    <w:rPr>
      <w:rFonts w:hint="default"/>
    </w:rPr>
  </w:style>
  <w:style w:type="character" w:customStyle="1" w:styleId="WW8Num11z0">
    <w:name w:val="WW8Num11z0"/>
    <w:rsid w:val="006C7B0A"/>
    <w:rPr>
      <w:rFonts w:ascii="Symbol" w:hAnsi="Symbol" w:cs="Symbol" w:hint="default"/>
      <w:sz w:val="20"/>
      <w:szCs w:val="22"/>
    </w:rPr>
  </w:style>
  <w:style w:type="character" w:customStyle="1" w:styleId="WW8Num11z1">
    <w:name w:val="WW8Num11z1"/>
    <w:rsid w:val="006C7B0A"/>
    <w:rPr>
      <w:rFonts w:ascii="Courier New" w:hAnsi="Courier New" w:cs="Courier New" w:hint="default"/>
    </w:rPr>
  </w:style>
  <w:style w:type="character" w:customStyle="1" w:styleId="WW8Num11z2">
    <w:name w:val="WW8Num11z2"/>
    <w:rsid w:val="006C7B0A"/>
    <w:rPr>
      <w:rFonts w:ascii="Wingdings" w:hAnsi="Wingdings" w:cs="Wingdings" w:hint="default"/>
    </w:rPr>
  </w:style>
  <w:style w:type="character" w:customStyle="1" w:styleId="WW8Num11z3">
    <w:name w:val="WW8Num11z3"/>
    <w:rsid w:val="006C7B0A"/>
    <w:rPr>
      <w:rFonts w:ascii="Symbol" w:hAnsi="Symbol" w:cs="Symbol" w:hint="default"/>
    </w:rPr>
  </w:style>
  <w:style w:type="character" w:customStyle="1" w:styleId="WW8Num12z0">
    <w:name w:val="WW8Num12z0"/>
    <w:rsid w:val="006C7B0A"/>
    <w:rPr>
      <w:rFonts w:ascii="Arial" w:hAnsi="Arial" w:cs="Arial"/>
      <w:sz w:val="22"/>
      <w:szCs w:val="22"/>
      <w:lang w:eastAsia="pl-PL"/>
    </w:rPr>
  </w:style>
  <w:style w:type="character" w:customStyle="1" w:styleId="WW8Num12z1">
    <w:name w:val="WW8Num12z1"/>
    <w:rsid w:val="006C7B0A"/>
  </w:style>
  <w:style w:type="character" w:customStyle="1" w:styleId="WW8Num12z2">
    <w:name w:val="WW8Num12z2"/>
    <w:rsid w:val="006C7B0A"/>
  </w:style>
  <w:style w:type="character" w:customStyle="1" w:styleId="WW8Num12z3">
    <w:name w:val="WW8Num12z3"/>
    <w:rsid w:val="006C7B0A"/>
  </w:style>
  <w:style w:type="character" w:customStyle="1" w:styleId="WW8Num12z4">
    <w:name w:val="WW8Num12z4"/>
    <w:rsid w:val="006C7B0A"/>
  </w:style>
  <w:style w:type="character" w:customStyle="1" w:styleId="WW8Num12z5">
    <w:name w:val="WW8Num12z5"/>
    <w:rsid w:val="006C7B0A"/>
  </w:style>
  <w:style w:type="character" w:customStyle="1" w:styleId="WW8Num12z6">
    <w:name w:val="WW8Num12z6"/>
    <w:rsid w:val="006C7B0A"/>
  </w:style>
  <w:style w:type="character" w:customStyle="1" w:styleId="WW8Num12z7">
    <w:name w:val="WW8Num12z7"/>
    <w:rsid w:val="006C7B0A"/>
  </w:style>
  <w:style w:type="character" w:customStyle="1" w:styleId="WW8Num12z8">
    <w:name w:val="WW8Num12z8"/>
    <w:rsid w:val="006C7B0A"/>
  </w:style>
  <w:style w:type="character" w:customStyle="1" w:styleId="WW8Num13z0">
    <w:name w:val="WW8Num13z0"/>
    <w:rsid w:val="006C7B0A"/>
  </w:style>
  <w:style w:type="character" w:customStyle="1" w:styleId="WW8Num13z1">
    <w:name w:val="WW8Num13z1"/>
    <w:rsid w:val="006C7B0A"/>
  </w:style>
  <w:style w:type="character" w:customStyle="1" w:styleId="WW8Num13z2">
    <w:name w:val="WW8Num13z2"/>
    <w:rsid w:val="006C7B0A"/>
  </w:style>
  <w:style w:type="character" w:customStyle="1" w:styleId="WW8Num13z3">
    <w:name w:val="WW8Num13z3"/>
    <w:rsid w:val="006C7B0A"/>
  </w:style>
  <w:style w:type="character" w:customStyle="1" w:styleId="WW8Num13z4">
    <w:name w:val="WW8Num13z4"/>
    <w:rsid w:val="006C7B0A"/>
  </w:style>
  <w:style w:type="character" w:customStyle="1" w:styleId="WW8Num13z5">
    <w:name w:val="WW8Num13z5"/>
    <w:rsid w:val="006C7B0A"/>
  </w:style>
  <w:style w:type="character" w:customStyle="1" w:styleId="WW8Num13z6">
    <w:name w:val="WW8Num13z6"/>
    <w:rsid w:val="006C7B0A"/>
  </w:style>
  <w:style w:type="character" w:customStyle="1" w:styleId="WW8Num13z7">
    <w:name w:val="WW8Num13z7"/>
    <w:rsid w:val="006C7B0A"/>
  </w:style>
  <w:style w:type="character" w:customStyle="1" w:styleId="WW8Num13z8">
    <w:name w:val="WW8Num13z8"/>
    <w:rsid w:val="006C7B0A"/>
  </w:style>
  <w:style w:type="character" w:customStyle="1" w:styleId="WW8Num14z0">
    <w:name w:val="WW8Num14z0"/>
    <w:rsid w:val="006C7B0A"/>
  </w:style>
  <w:style w:type="character" w:customStyle="1" w:styleId="WW8Num14z1">
    <w:name w:val="WW8Num14z1"/>
    <w:rsid w:val="006C7B0A"/>
  </w:style>
  <w:style w:type="character" w:customStyle="1" w:styleId="WW8Num14z2">
    <w:name w:val="WW8Num14z2"/>
    <w:rsid w:val="006C7B0A"/>
  </w:style>
  <w:style w:type="character" w:customStyle="1" w:styleId="WW8Num14z3">
    <w:name w:val="WW8Num14z3"/>
    <w:rsid w:val="006C7B0A"/>
  </w:style>
  <w:style w:type="character" w:customStyle="1" w:styleId="WW8Num14z4">
    <w:name w:val="WW8Num14z4"/>
    <w:rsid w:val="006C7B0A"/>
  </w:style>
  <w:style w:type="character" w:customStyle="1" w:styleId="WW8Num14z5">
    <w:name w:val="WW8Num14z5"/>
    <w:rsid w:val="006C7B0A"/>
  </w:style>
  <w:style w:type="character" w:customStyle="1" w:styleId="WW8Num14z6">
    <w:name w:val="WW8Num14z6"/>
    <w:rsid w:val="006C7B0A"/>
  </w:style>
  <w:style w:type="character" w:customStyle="1" w:styleId="WW8Num14z7">
    <w:name w:val="WW8Num14z7"/>
    <w:rsid w:val="006C7B0A"/>
  </w:style>
  <w:style w:type="character" w:customStyle="1" w:styleId="WW8Num14z8">
    <w:name w:val="WW8Num14z8"/>
    <w:rsid w:val="006C7B0A"/>
  </w:style>
  <w:style w:type="character" w:customStyle="1" w:styleId="Domylnaczcionkaakapitu1">
    <w:name w:val="Domyślna czcionka akapitu1"/>
    <w:rsid w:val="006C7B0A"/>
  </w:style>
  <w:style w:type="character" w:customStyle="1" w:styleId="Odwoaniedokomentarza1">
    <w:name w:val="Odwołanie do komentarza1"/>
    <w:rsid w:val="006C7B0A"/>
    <w:rPr>
      <w:sz w:val="16"/>
      <w:szCs w:val="16"/>
    </w:rPr>
  </w:style>
  <w:style w:type="character" w:styleId="Hipercze">
    <w:name w:val="Hyperlink"/>
    <w:rsid w:val="006C7B0A"/>
    <w:rPr>
      <w:color w:val="0000FF"/>
      <w:u w:val="single"/>
    </w:rPr>
  </w:style>
  <w:style w:type="character" w:customStyle="1" w:styleId="TekstkomentarzaZnak1">
    <w:name w:val="Tekst komentarza Znak1"/>
    <w:rsid w:val="006C7B0A"/>
    <w:rPr>
      <w:rFonts w:ascii="Arial" w:hAnsi="Arial" w:cs="Arial"/>
    </w:rPr>
  </w:style>
  <w:style w:type="character" w:customStyle="1" w:styleId="TekstkomentarzaZnak">
    <w:name w:val="Tekst komentarza Znak"/>
    <w:rsid w:val="006C7B0A"/>
    <w:rPr>
      <w:rFonts w:ascii="Verdana" w:hAnsi="Verdana" w:cs="Verdana"/>
      <w:sz w:val="20"/>
      <w:szCs w:val="20"/>
    </w:rPr>
  </w:style>
  <w:style w:type="character" w:customStyle="1" w:styleId="BCCTekstRazemZnak">
    <w:name w:val="BCC_Tekst_Razem Znak"/>
    <w:rsid w:val="006C7B0A"/>
    <w:rPr>
      <w:rFonts w:ascii="Arial" w:hAnsi="Arial" w:cs="Arial"/>
      <w:sz w:val="22"/>
      <w:szCs w:val="22"/>
    </w:rPr>
  </w:style>
  <w:style w:type="character" w:customStyle="1" w:styleId="bold">
    <w:name w:val="bold"/>
    <w:basedOn w:val="Domylnaczcionkaakapitu1"/>
    <w:rsid w:val="006C7B0A"/>
  </w:style>
  <w:style w:type="character" w:styleId="UyteHipercze">
    <w:name w:val="FollowedHyperlink"/>
    <w:basedOn w:val="Domylnaczcionkaakapitu1"/>
    <w:rsid w:val="006C7B0A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6C7B0A"/>
    <w:pPr>
      <w:spacing w:before="0" w:after="0" w:line="360" w:lineRule="auto"/>
      <w:jc w:val="center"/>
    </w:pPr>
    <w:rPr>
      <w:rFonts w:ascii="Times New Roman" w:hAnsi="Times New Roman" w:cs="Times New Roman"/>
      <w:b/>
      <w:spacing w:val="-3"/>
    </w:rPr>
  </w:style>
  <w:style w:type="paragraph" w:styleId="Tekstpodstawowy">
    <w:name w:val="Body Text"/>
    <w:basedOn w:val="Normalny"/>
    <w:rsid w:val="006C7B0A"/>
    <w:pPr>
      <w:spacing w:before="0" w:after="0" w:line="360" w:lineRule="auto"/>
    </w:pPr>
    <w:rPr>
      <w:rFonts w:ascii="Times New Roman" w:hAnsi="Times New Roman" w:cs="Times New Roman"/>
      <w:spacing w:val="-3"/>
      <w:lang w:eastAsia="pl-PL"/>
    </w:rPr>
  </w:style>
  <w:style w:type="paragraph" w:styleId="Lista">
    <w:name w:val="List"/>
    <w:basedOn w:val="Tekstpodstawowy"/>
    <w:rsid w:val="006C7B0A"/>
    <w:rPr>
      <w:rFonts w:cs="Mangal"/>
    </w:rPr>
  </w:style>
  <w:style w:type="paragraph" w:styleId="Legenda">
    <w:name w:val="caption"/>
    <w:basedOn w:val="Normalny"/>
    <w:qFormat/>
    <w:rsid w:val="006C7B0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6C7B0A"/>
    <w:pPr>
      <w:suppressLineNumbers/>
    </w:pPr>
    <w:rPr>
      <w:rFonts w:cs="Mangal"/>
    </w:rPr>
  </w:style>
  <w:style w:type="paragraph" w:styleId="Nagwek">
    <w:name w:val="header"/>
    <w:basedOn w:val="Normalny"/>
    <w:rsid w:val="006C7B0A"/>
  </w:style>
  <w:style w:type="paragraph" w:styleId="Stopka">
    <w:name w:val="footer"/>
    <w:basedOn w:val="Normalny"/>
    <w:rsid w:val="006C7B0A"/>
  </w:style>
  <w:style w:type="paragraph" w:customStyle="1" w:styleId="1">
    <w:name w:val="1"/>
    <w:basedOn w:val="Normalny"/>
    <w:next w:val="Nagwek"/>
    <w:rsid w:val="006C7B0A"/>
    <w:pPr>
      <w:jc w:val="center"/>
    </w:pPr>
  </w:style>
  <w:style w:type="paragraph" w:styleId="Akapitzlist">
    <w:name w:val="List Paragraph"/>
    <w:basedOn w:val="Normalny"/>
    <w:qFormat/>
    <w:rsid w:val="006C7B0A"/>
    <w:pPr>
      <w:spacing w:before="0" w:after="0" w:line="240" w:lineRule="auto"/>
      <w:ind w:left="708"/>
      <w:jc w:val="left"/>
    </w:pPr>
    <w:rPr>
      <w:rFonts w:ascii="Times New Roman" w:hAnsi="Times New Roman" w:cs="Calibri"/>
      <w:szCs w:val="24"/>
    </w:rPr>
  </w:style>
  <w:style w:type="paragraph" w:customStyle="1" w:styleId="Tekstkomentarza1">
    <w:name w:val="Tekst komentarza1"/>
    <w:basedOn w:val="Normalny"/>
    <w:rsid w:val="006C7B0A"/>
    <w:rPr>
      <w:sz w:val="20"/>
    </w:rPr>
  </w:style>
  <w:style w:type="paragraph" w:styleId="Tekstdymka">
    <w:name w:val="Balloon Text"/>
    <w:basedOn w:val="Normalny"/>
    <w:rsid w:val="006C7B0A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rsid w:val="006C7B0A"/>
    <w:rPr>
      <w:b/>
      <w:bCs/>
      <w:sz w:val="20"/>
    </w:rPr>
  </w:style>
  <w:style w:type="paragraph" w:customStyle="1" w:styleId="Tekstpodstawowy21">
    <w:name w:val="Tekst podstawowy 21"/>
    <w:basedOn w:val="Normalny"/>
    <w:rsid w:val="006C7B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1"/>
    <w:next w:val="Tekstkomentarza1"/>
    <w:rsid w:val="006C7B0A"/>
    <w:rPr>
      <w:b/>
      <w:bCs/>
    </w:rPr>
  </w:style>
  <w:style w:type="paragraph" w:customStyle="1" w:styleId="Punktklauzuli">
    <w:name w:val="Punkt klauzuli"/>
    <w:basedOn w:val="Normalny"/>
    <w:rsid w:val="006C7B0A"/>
    <w:pPr>
      <w:numPr>
        <w:numId w:val="4"/>
      </w:numPr>
      <w:spacing w:before="0" w:after="0" w:line="360" w:lineRule="auto"/>
    </w:pPr>
    <w:rPr>
      <w:rFonts w:ascii="Verdana" w:hAnsi="Verdana" w:cs="Verdana"/>
      <w:sz w:val="20"/>
    </w:rPr>
  </w:style>
  <w:style w:type="paragraph" w:styleId="Poprawka">
    <w:name w:val="Revision"/>
    <w:rsid w:val="006C7B0A"/>
    <w:pPr>
      <w:suppressAutoHyphens/>
    </w:pPr>
    <w:rPr>
      <w:rFonts w:ascii="Arial" w:hAnsi="Arial" w:cs="Arial"/>
      <w:sz w:val="24"/>
      <w:lang w:eastAsia="zh-CN"/>
    </w:rPr>
  </w:style>
  <w:style w:type="paragraph" w:customStyle="1" w:styleId="BCCTekstRazem">
    <w:name w:val="BCC_Tekst_Razem"/>
    <w:basedOn w:val="Normalny"/>
    <w:rsid w:val="006C7B0A"/>
    <w:pPr>
      <w:spacing w:before="0" w:after="0" w:line="260" w:lineRule="exact"/>
    </w:pPr>
    <w:rPr>
      <w:sz w:val="22"/>
      <w:szCs w:val="22"/>
    </w:rPr>
  </w:style>
  <w:style w:type="paragraph" w:styleId="NormalnyWeb">
    <w:name w:val="Normal (Web)"/>
    <w:basedOn w:val="Normalny"/>
    <w:rsid w:val="006C7B0A"/>
    <w:pPr>
      <w:spacing w:before="280" w:after="280" w:line="240" w:lineRule="auto"/>
      <w:jc w:val="left"/>
    </w:pPr>
    <w:rPr>
      <w:rFonts w:ascii="Times New Roman" w:hAnsi="Times New Roman" w:cs="Times New Roman"/>
      <w:szCs w:val="24"/>
    </w:rPr>
  </w:style>
  <w:style w:type="paragraph" w:customStyle="1" w:styleId="Zawartotabeli">
    <w:name w:val="Zawartość tabeli"/>
    <w:basedOn w:val="Normalny"/>
    <w:rsid w:val="006C7B0A"/>
    <w:pPr>
      <w:suppressLineNumbers/>
    </w:pPr>
  </w:style>
  <w:style w:type="paragraph" w:customStyle="1" w:styleId="Nagwektabeli">
    <w:name w:val="Nagłówek tabeli"/>
    <w:basedOn w:val="Zawartotabeli"/>
    <w:rsid w:val="006C7B0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SLA</vt:lpstr>
    </vt:vector>
  </TitlesOfParts>
  <Company>Hewlett-Packard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</dc:title>
  <dc:creator>sla lekseek stabd</dc:creator>
  <cp:lastModifiedBy>Grzegorz</cp:lastModifiedBy>
  <cp:revision>3</cp:revision>
  <cp:lastPrinted>2012-07-06T14:14:00Z</cp:lastPrinted>
  <dcterms:created xsi:type="dcterms:W3CDTF">2015-08-21T08:51:00Z</dcterms:created>
  <dcterms:modified xsi:type="dcterms:W3CDTF">2015-08-21T08:54:00Z</dcterms:modified>
</cp:coreProperties>
</file>